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60" w:rsidRDefault="00875160">
      <w:pPr>
        <w:rPr>
          <w:rFonts w:ascii="Arial" w:hAnsi="Arial" w:cs="Arial"/>
          <w:b/>
          <w:sz w:val="28"/>
          <w:szCs w:val="28"/>
        </w:rPr>
      </w:pPr>
      <w:bookmarkStart w:id="0" w:name="_GoBack"/>
      <w:bookmarkEnd w:id="0"/>
      <w:r>
        <w:rPr>
          <w:rFonts w:ascii="Arial" w:hAnsi="Arial" w:cs="Arial"/>
          <w:b/>
          <w:sz w:val="28"/>
          <w:szCs w:val="28"/>
        </w:rPr>
        <w:t>Strategic internal audit plan: 2015/16, 2016/17 and beyond</w:t>
      </w:r>
    </w:p>
    <w:p w:rsidR="006E3BCA" w:rsidRPr="00FD2471" w:rsidRDefault="006E3BCA" w:rsidP="00663EFC">
      <w:pPr>
        <w:pStyle w:val="ListParagraph"/>
        <w:numPr>
          <w:ilvl w:val="0"/>
          <w:numId w:val="5"/>
        </w:numPr>
        <w:spacing w:line="240" w:lineRule="auto"/>
        <w:ind w:left="357" w:hanging="357"/>
        <w:contextualSpacing w:val="0"/>
        <w:rPr>
          <w:rFonts w:ascii="Arial" w:hAnsi="Arial" w:cs="Arial"/>
          <w:sz w:val="24"/>
          <w:szCs w:val="24"/>
        </w:rPr>
      </w:pPr>
      <w:r w:rsidRPr="00FD2471">
        <w:rPr>
          <w:rFonts w:ascii="Arial" w:hAnsi="Arial" w:cs="Arial"/>
          <w:sz w:val="24"/>
          <w:szCs w:val="24"/>
        </w:rPr>
        <w:t xml:space="preserve">This paper </w:t>
      </w:r>
      <w:r w:rsidR="00C54692">
        <w:rPr>
          <w:rFonts w:ascii="Arial" w:hAnsi="Arial" w:cs="Arial"/>
          <w:sz w:val="24"/>
          <w:szCs w:val="24"/>
        </w:rPr>
        <w:t>explains</w:t>
      </w:r>
      <w:r w:rsidRPr="00FD2471">
        <w:rPr>
          <w:rFonts w:ascii="Arial" w:hAnsi="Arial" w:cs="Arial"/>
          <w:sz w:val="24"/>
          <w:szCs w:val="24"/>
        </w:rPr>
        <w:t xml:space="preserve"> the work the Internal Audit Service plan</w:t>
      </w:r>
      <w:r w:rsidR="00A25207">
        <w:rPr>
          <w:rFonts w:ascii="Arial" w:hAnsi="Arial" w:cs="Arial"/>
          <w:sz w:val="24"/>
          <w:szCs w:val="24"/>
        </w:rPr>
        <w:t>s</w:t>
      </w:r>
      <w:r w:rsidRPr="00FD2471">
        <w:rPr>
          <w:rFonts w:ascii="Arial" w:hAnsi="Arial" w:cs="Arial"/>
          <w:sz w:val="24"/>
          <w:szCs w:val="24"/>
        </w:rPr>
        <w:t xml:space="preserve"> to undertake during 2016 and 2017. </w:t>
      </w:r>
      <w:r w:rsidR="00A25207">
        <w:rPr>
          <w:rFonts w:ascii="Arial" w:hAnsi="Arial" w:cs="Arial"/>
          <w:sz w:val="24"/>
          <w:szCs w:val="24"/>
        </w:rPr>
        <w:t>T</w:t>
      </w:r>
      <w:r w:rsidRPr="00FD2471">
        <w:rPr>
          <w:rFonts w:ascii="Arial" w:hAnsi="Arial" w:cs="Arial"/>
          <w:sz w:val="24"/>
          <w:szCs w:val="24"/>
        </w:rPr>
        <w:t xml:space="preserve">he work set out here will be subject to </w:t>
      </w:r>
      <w:r w:rsidR="00A25207">
        <w:rPr>
          <w:rFonts w:ascii="Arial" w:hAnsi="Arial" w:cs="Arial"/>
          <w:sz w:val="24"/>
          <w:szCs w:val="24"/>
        </w:rPr>
        <w:t>amendment</w:t>
      </w:r>
      <w:r w:rsidRPr="00FD2471">
        <w:rPr>
          <w:rFonts w:ascii="Arial" w:hAnsi="Arial" w:cs="Arial"/>
          <w:sz w:val="24"/>
          <w:szCs w:val="24"/>
        </w:rPr>
        <w:t xml:space="preserve"> as its scope is developed</w:t>
      </w:r>
      <w:r w:rsidR="00A25207">
        <w:rPr>
          <w:rFonts w:ascii="Arial" w:hAnsi="Arial" w:cs="Arial"/>
          <w:sz w:val="24"/>
          <w:szCs w:val="24"/>
        </w:rPr>
        <w:t xml:space="preserve"> with managers</w:t>
      </w:r>
      <w:r w:rsidR="006B1689">
        <w:rPr>
          <w:rFonts w:ascii="Arial" w:hAnsi="Arial" w:cs="Arial"/>
          <w:sz w:val="24"/>
          <w:szCs w:val="24"/>
        </w:rPr>
        <w:t xml:space="preserve"> to</w:t>
      </w:r>
      <w:r w:rsidR="00F04490">
        <w:rPr>
          <w:rFonts w:ascii="Arial" w:hAnsi="Arial" w:cs="Arial"/>
          <w:sz w:val="24"/>
          <w:szCs w:val="24"/>
        </w:rPr>
        <w:t xml:space="preserve"> </w:t>
      </w:r>
      <w:r w:rsidR="000717D7">
        <w:rPr>
          <w:rFonts w:ascii="Arial" w:hAnsi="Arial" w:cs="Arial"/>
          <w:sz w:val="24"/>
          <w:szCs w:val="24"/>
        </w:rPr>
        <w:t xml:space="preserve">reflect </w:t>
      </w:r>
      <w:r w:rsidR="00F04490">
        <w:rPr>
          <w:rFonts w:ascii="Arial" w:hAnsi="Arial" w:cs="Arial"/>
          <w:sz w:val="24"/>
          <w:szCs w:val="24"/>
        </w:rPr>
        <w:t xml:space="preserve">changes across the council as further decisions are made about the </w:t>
      </w:r>
      <w:r w:rsidR="00C54692">
        <w:rPr>
          <w:rFonts w:ascii="Arial" w:hAnsi="Arial" w:cs="Arial"/>
          <w:sz w:val="24"/>
          <w:szCs w:val="24"/>
        </w:rPr>
        <w:t xml:space="preserve">future </w:t>
      </w:r>
      <w:r w:rsidR="00F04490">
        <w:rPr>
          <w:rFonts w:ascii="Arial" w:hAnsi="Arial" w:cs="Arial"/>
          <w:sz w:val="24"/>
          <w:szCs w:val="24"/>
        </w:rPr>
        <w:t>shape of the organisation</w:t>
      </w:r>
      <w:r w:rsidR="00C54692">
        <w:rPr>
          <w:rFonts w:ascii="Arial" w:hAnsi="Arial" w:cs="Arial"/>
          <w:sz w:val="24"/>
          <w:szCs w:val="24"/>
        </w:rPr>
        <w:t xml:space="preserve"> and the services it provides</w:t>
      </w:r>
      <w:r w:rsidRPr="00FD2471">
        <w:rPr>
          <w:rFonts w:ascii="Arial" w:hAnsi="Arial" w:cs="Arial"/>
          <w:sz w:val="24"/>
          <w:szCs w:val="24"/>
        </w:rPr>
        <w:t>.</w:t>
      </w:r>
      <w:r w:rsidR="00875160">
        <w:rPr>
          <w:rFonts w:ascii="Arial" w:hAnsi="Arial" w:cs="Arial"/>
          <w:sz w:val="24"/>
          <w:szCs w:val="24"/>
        </w:rPr>
        <w:t xml:space="preserve"> It therefore addresses the audit years 2015/16 and 2016/17, and recognises that some planned audit work may extend beyond th</w:t>
      </w:r>
      <w:r w:rsidR="00E76CBA">
        <w:rPr>
          <w:rFonts w:ascii="Arial" w:hAnsi="Arial" w:cs="Arial"/>
          <w:sz w:val="24"/>
          <w:szCs w:val="24"/>
        </w:rPr>
        <w:t>is</w:t>
      </w:r>
      <w:r w:rsidR="00875160">
        <w:rPr>
          <w:rFonts w:ascii="Arial" w:hAnsi="Arial" w:cs="Arial"/>
          <w:sz w:val="24"/>
          <w:szCs w:val="24"/>
        </w:rPr>
        <w:t>.</w:t>
      </w:r>
    </w:p>
    <w:p w:rsidR="003C2063" w:rsidRDefault="00E76CBA" w:rsidP="00A6177B">
      <w:pPr>
        <w:pStyle w:val="ListParagraph"/>
        <w:numPr>
          <w:ilvl w:val="0"/>
          <w:numId w:val="5"/>
        </w:numPr>
        <w:spacing w:line="240" w:lineRule="auto"/>
        <w:ind w:left="357" w:hanging="357"/>
        <w:contextualSpacing w:val="0"/>
        <w:rPr>
          <w:rFonts w:ascii="Arial" w:hAnsi="Arial" w:cs="Arial"/>
          <w:sz w:val="24"/>
          <w:szCs w:val="24"/>
        </w:rPr>
      </w:pPr>
      <w:r w:rsidRPr="003C2063">
        <w:rPr>
          <w:rFonts w:ascii="Arial" w:hAnsi="Arial" w:cs="Arial"/>
          <w:sz w:val="24"/>
          <w:szCs w:val="24"/>
        </w:rPr>
        <w:t>Although its services are facing further significant reconfiguration and some will cease, t</w:t>
      </w:r>
      <w:r w:rsidR="008D4345" w:rsidRPr="003C2063">
        <w:rPr>
          <w:rFonts w:ascii="Arial" w:hAnsi="Arial" w:cs="Arial"/>
          <w:sz w:val="24"/>
          <w:szCs w:val="24"/>
        </w:rPr>
        <w:t>he council continues to provide a wide range of services across the county. Senior managers will be aware both of the risks to achieving their service objectives and the risks inherent in their work, and each of these risks should be managed by controls designed to reduce the risk to a corporately acceptable level.</w:t>
      </w:r>
      <w:r w:rsidR="0015209A" w:rsidRPr="003C2063">
        <w:rPr>
          <w:rFonts w:ascii="Arial" w:hAnsi="Arial" w:cs="Arial"/>
          <w:sz w:val="24"/>
          <w:szCs w:val="24"/>
        </w:rPr>
        <w:t xml:space="preserve"> </w:t>
      </w:r>
      <w:r w:rsidR="003C2063" w:rsidRPr="003C2063">
        <w:rPr>
          <w:rFonts w:ascii="Arial" w:hAnsi="Arial" w:cs="Arial"/>
          <w:sz w:val="24"/>
          <w:szCs w:val="24"/>
        </w:rPr>
        <w:t xml:space="preserve">However, as was reported to the Audit and Governance Committee in September 2015, the organisation's operating structure will change again and </w:t>
      </w:r>
      <w:r w:rsidR="000C244F">
        <w:rPr>
          <w:rFonts w:ascii="Arial" w:hAnsi="Arial" w:cs="Arial"/>
          <w:sz w:val="24"/>
          <w:szCs w:val="24"/>
        </w:rPr>
        <w:t xml:space="preserve">its </w:t>
      </w:r>
      <w:r w:rsidR="003C2063" w:rsidRPr="003C2063">
        <w:rPr>
          <w:rFonts w:ascii="Arial" w:hAnsi="Arial" w:cs="Arial"/>
          <w:sz w:val="24"/>
          <w:szCs w:val="24"/>
        </w:rPr>
        <w:t xml:space="preserve">redesigned control frameworks will </w:t>
      </w:r>
      <w:r w:rsidR="000C244F">
        <w:rPr>
          <w:rFonts w:ascii="Arial" w:hAnsi="Arial" w:cs="Arial"/>
          <w:sz w:val="24"/>
          <w:szCs w:val="24"/>
        </w:rPr>
        <w:t xml:space="preserve">therefore </w:t>
      </w:r>
      <w:r w:rsidR="003C2063" w:rsidRPr="003C2063">
        <w:rPr>
          <w:rFonts w:ascii="Arial" w:hAnsi="Arial" w:cs="Arial"/>
          <w:sz w:val="24"/>
          <w:szCs w:val="24"/>
        </w:rPr>
        <w:t xml:space="preserve">also change. </w:t>
      </w:r>
      <w:r w:rsidR="003C2063" w:rsidRPr="00A6177B">
        <w:rPr>
          <w:rFonts w:ascii="Arial" w:hAnsi="Arial" w:cs="Arial"/>
          <w:sz w:val="24"/>
          <w:szCs w:val="24"/>
        </w:rPr>
        <w:t>The chief executive, leader, Audit and Governance Committee, and ultimately the Council, need assurance that these controls have been adequately designed and are operating effectively in practice.</w:t>
      </w:r>
    </w:p>
    <w:p w:rsidR="001E74A8" w:rsidRPr="00523F54" w:rsidRDefault="001E74A8" w:rsidP="001E74A8">
      <w:pPr>
        <w:pStyle w:val="ListParagraph"/>
        <w:numPr>
          <w:ilvl w:val="0"/>
          <w:numId w:val="5"/>
        </w:numPr>
        <w:spacing w:line="240" w:lineRule="auto"/>
        <w:contextualSpacing w:val="0"/>
        <w:rPr>
          <w:rFonts w:ascii="Arial" w:hAnsi="Arial" w:cs="Arial"/>
          <w:sz w:val="24"/>
          <w:szCs w:val="24"/>
        </w:rPr>
      </w:pPr>
      <w:r w:rsidRPr="00782395">
        <w:rPr>
          <w:rFonts w:ascii="Arial" w:hAnsi="Arial" w:cs="Arial"/>
          <w:sz w:val="24"/>
          <w:szCs w:val="24"/>
        </w:rPr>
        <w:t xml:space="preserve">Using the principles and the documents set out </w:t>
      </w:r>
      <w:r>
        <w:rPr>
          <w:rFonts w:ascii="Arial" w:hAnsi="Arial" w:cs="Arial"/>
          <w:sz w:val="24"/>
          <w:szCs w:val="24"/>
        </w:rPr>
        <w:t>below</w:t>
      </w:r>
      <w:r w:rsidRPr="00782395">
        <w:rPr>
          <w:rFonts w:ascii="Arial" w:hAnsi="Arial" w:cs="Arial"/>
          <w:sz w:val="24"/>
          <w:szCs w:val="24"/>
        </w:rPr>
        <w:t>, the outline of a</w:t>
      </w:r>
      <w:r>
        <w:rPr>
          <w:rFonts w:ascii="Arial" w:hAnsi="Arial" w:cs="Arial"/>
          <w:sz w:val="24"/>
          <w:szCs w:val="24"/>
        </w:rPr>
        <w:t xml:space="preserve">n </w:t>
      </w:r>
      <w:r w:rsidRPr="00782395">
        <w:rPr>
          <w:rFonts w:ascii="Arial" w:hAnsi="Arial" w:cs="Arial"/>
          <w:sz w:val="24"/>
          <w:szCs w:val="24"/>
        </w:rPr>
        <w:t xml:space="preserve">audit plan for 2016 and 2017 has been drafted, although the resources available to the service </w:t>
      </w:r>
      <w:r w:rsidR="002978FD">
        <w:rPr>
          <w:rFonts w:ascii="Arial" w:hAnsi="Arial" w:cs="Arial"/>
          <w:sz w:val="24"/>
          <w:szCs w:val="24"/>
        </w:rPr>
        <w:t>have</w:t>
      </w:r>
      <w:r w:rsidRPr="00782395">
        <w:rPr>
          <w:rFonts w:ascii="Arial" w:hAnsi="Arial" w:cs="Arial"/>
          <w:sz w:val="24"/>
          <w:szCs w:val="24"/>
        </w:rPr>
        <w:t xml:space="preserve"> not </w:t>
      </w:r>
      <w:r w:rsidR="002978FD">
        <w:rPr>
          <w:rFonts w:ascii="Arial" w:hAnsi="Arial" w:cs="Arial"/>
          <w:sz w:val="24"/>
          <w:szCs w:val="24"/>
        </w:rPr>
        <w:t xml:space="preserve">been </w:t>
      </w:r>
      <w:r>
        <w:rPr>
          <w:rFonts w:ascii="Arial" w:hAnsi="Arial" w:cs="Arial"/>
          <w:sz w:val="24"/>
          <w:szCs w:val="24"/>
        </w:rPr>
        <w:t>finalised</w:t>
      </w:r>
      <w:r w:rsidRPr="00782395">
        <w:rPr>
          <w:rFonts w:ascii="Arial" w:hAnsi="Arial" w:cs="Arial"/>
          <w:sz w:val="24"/>
          <w:szCs w:val="24"/>
        </w:rPr>
        <w:t xml:space="preserve"> and this must shape the work that can be undertaken in practice. Management Team has agreed the principles and outline of this plan, but </w:t>
      </w:r>
      <w:r>
        <w:rPr>
          <w:rFonts w:ascii="Arial" w:hAnsi="Arial" w:cs="Arial"/>
          <w:sz w:val="24"/>
          <w:szCs w:val="24"/>
        </w:rPr>
        <w:t>f</w:t>
      </w:r>
      <w:r w:rsidRPr="00782395">
        <w:rPr>
          <w:rFonts w:ascii="Arial" w:hAnsi="Arial" w:cs="Arial"/>
          <w:sz w:val="24"/>
          <w:szCs w:val="24"/>
        </w:rPr>
        <w:t xml:space="preserve">urther input from directors and heads of service will also be necessary to shape </w:t>
      </w:r>
      <w:r>
        <w:rPr>
          <w:rFonts w:ascii="Arial" w:hAnsi="Arial" w:cs="Arial"/>
          <w:sz w:val="24"/>
          <w:szCs w:val="24"/>
        </w:rPr>
        <w:t>it</w:t>
      </w:r>
      <w:r w:rsidRPr="00782395">
        <w:rPr>
          <w:rFonts w:ascii="Arial" w:hAnsi="Arial" w:cs="Arial"/>
          <w:sz w:val="24"/>
          <w:szCs w:val="24"/>
        </w:rPr>
        <w:t xml:space="preserve"> in more </w:t>
      </w:r>
      <w:r w:rsidRPr="00D410BF">
        <w:rPr>
          <w:rFonts w:ascii="Arial" w:hAnsi="Arial" w:cs="Arial"/>
          <w:sz w:val="24"/>
          <w:szCs w:val="24"/>
        </w:rPr>
        <w:t xml:space="preserve">detail, to guide what is actually achievable and to identify management sponsorship. </w:t>
      </w:r>
      <w:r w:rsidRPr="00523F54">
        <w:rPr>
          <w:rFonts w:ascii="Arial" w:hAnsi="Arial" w:cs="Arial"/>
          <w:sz w:val="24"/>
          <w:szCs w:val="24"/>
        </w:rPr>
        <w:t>Input is now sought from the</w:t>
      </w:r>
      <w:r w:rsidR="002978FD">
        <w:rPr>
          <w:rFonts w:ascii="Arial" w:hAnsi="Arial" w:cs="Arial"/>
          <w:sz w:val="24"/>
          <w:szCs w:val="24"/>
        </w:rPr>
        <w:t xml:space="preserve"> Audit and Governance Committee</w:t>
      </w:r>
      <w:r w:rsidRPr="00523F54">
        <w:rPr>
          <w:rFonts w:ascii="Arial" w:hAnsi="Arial" w:cs="Arial"/>
          <w:sz w:val="24"/>
          <w:szCs w:val="24"/>
        </w:rPr>
        <w:t>.</w:t>
      </w:r>
    </w:p>
    <w:p w:rsidR="008D4345" w:rsidRPr="008D4345" w:rsidRDefault="00A25207" w:rsidP="008D4345">
      <w:pPr>
        <w:pStyle w:val="ListParagraph"/>
        <w:numPr>
          <w:ilvl w:val="0"/>
          <w:numId w:val="5"/>
        </w:numPr>
        <w:spacing w:line="240" w:lineRule="auto"/>
        <w:ind w:left="357" w:hanging="357"/>
        <w:contextualSpacing w:val="0"/>
        <w:rPr>
          <w:rFonts w:ascii="Arial" w:hAnsi="Arial" w:cs="Arial"/>
          <w:sz w:val="24"/>
          <w:szCs w:val="24"/>
        </w:rPr>
      </w:pPr>
      <w:r w:rsidRPr="0038001D">
        <w:rPr>
          <w:rFonts w:ascii="Arial" w:hAnsi="Arial" w:cs="Arial"/>
          <w:sz w:val="24"/>
          <w:szCs w:val="24"/>
        </w:rPr>
        <w:t xml:space="preserve">The Audit and Governance Committee's </w:t>
      </w:r>
      <w:r w:rsidR="0038001D" w:rsidRPr="0038001D">
        <w:rPr>
          <w:rFonts w:ascii="Arial" w:hAnsi="Arial" w:cs="Arial"/>
          <w:sz w:val="24"/>
          <w:szCs w:val="24"/>
        </w:rPr>
        <w:t xml:space="preserve">terms of reference require it to: </w:t>
      </w:r>
      <w:r w:rsidR="000F53A1" w:rsidRPr="0038001D">
        <w:rPr>
          <w:rFonts w:ascii="Arial" w:hAnsi="Arial" w:cs="Arial"/>
          <w:sz w:val="24"/>
          <w:szCs w:val="24"/>
        </w:rPr>
        <w:t>monitor the operation of the council's corporate governance, risk management an</w:t>
      </w:r>
      <w:r w:rsidR="0038001D" w:rsidRPr="0038001D">
        <w:rPr>
          <w:rFonts w:ascii="Arial" w:hAnsi="Arial" w:cs="Arial"/>
          <w:sz w:val="24"/>
          <w:szCs w:val="24"/>
        </w:rPr>
        <w:t xml:space="preserve">d internal control arrangements; </w:t>
      </w:r>
      <w:r w:rsidR="000F53A1" w:rsidRPr="0038001D">
        <w:rPr>
          <w:rFonts w:ascii="Arial" w:hAnsi="Arial" w:cs="Arial"/>
          <w:sz w:val="24"/>
          <w:szCs w:val="24"/>
        </w:rPr>
        <w:t>review and approve the counci</w:t>
      </w:r>
      <w:r w:rsidR="0038001D" w:rsidRPr="0038001D">
        <w:rPr>
          <w:rFonts w:ascii="Arial" w:hAnsi="Arial" w:cs="Arial"/>
          <w:sz w:val="24"/>
          <w:szCs w:val="24"/>
        </w:rPr>
        <w:t>l's annual governance statement; and approve, but not direct, the annual internal audit plan.</w:t>
      </w:r>
      <w:r w:rsidR="0038001D">
        <w:rPr>
          <w:rFonts w:ascii="Arial" w:hAnsi="Arial" w:cs="Arial"/>
          <w:sz w:val="24"/>
          <w:szCs w:val="24"/>
        </w:rPr>
        <w:t xml:space="preserve"> </w:t>
      </w:r>
      <w:r w:rsidR="0038001D" w:rsidRPr="0038001D">
        <w:rPr>
          <w:rFonts w:ascii="Arial" w:hAnsi="Arial" w:cs="Arial"/>
          <w:sz w:val="24"/>
          <w:szCs w:val="24"/>
        </w:rPr>
        <w:t xml:space="preserve">The committee's views on this plan will </w:t>
      </w:r>
      <w:r w:rsidR="0038001D">
        <w:rPr>
          <w:rFonts w:ascii="Arial" w:hAnsi="Arial" w:cs="Arial"/>
          <w:sz w:val="24"/>
          <w:szCs w:val="24"/>
        </w:rPr>
        <w:t xml:space="preserve">therefore </w:t>
      </w:r>
      <w:r w:rsidR="0038001D" w:rsidRPr="0038001D">
        <w:rPr>
          <w:rFonts w:ascii="Arial" w:hAnsi="Arial" w:cs="Arial"/>
          <w:sz w:val="24"/>
          <w:szCs w:val="24"/>
        </w:rPr>
        <w:t>be welcome.</w:t>
      </w:r>
    </w:p>
    <w:p w:rsidR="00A00CE4" w:rsidRPr="00A00CE4" w:rsidRDefault="00A00CE4" w:rsidP="00663EFC">
      <w:pPr>
        <w:spacing w:line="240" w:lineRule="auto"/>
        <w:rPr>
          <w:rFonts w:ascii="Arial" w:hAnsi="Arial" w:cs="Arial"/>
          <w:b/>
          <w:sz w:val="24"/>
          <w:szCs w:val="24"/>
        </w:rPr>
      </w:pPr>
      <w:r>
        <w:rPr>
          <w:rFonts w:ascii="Arial" w:hAnsi="Arial" w:cs="Arial"/>
          <w:b/>
          <w:sz w:val="24"/>
          <w:szCs w:val="24"/>
        </w:rPr>
        <w:t>Definition of i</w:t>
      </w:r>
      <w:r w:rsidRPr="00A00CE4">
        <w:rPr>
          <w:rFonts w:ascii="Arial" w:hAnsi="Arial" w:cs="Arial"/>
          <w:b/>
          <w:sz w:val="24"/>
          <w:szCs w:val="24"/>
        </w:rPr>
        <w:t xml:space="preserve">nternal </w:t>
      </w:r>
      <w:r>
        <w:rPr>
          <w:rFonts w:ascii="Arial" w:hAnsi="Arial" w:cs="Arial"/>
          <w:b/>
          <w:sz w:val="24"/>
          <w:szCs w:val="24"/>
        </w:rPr>
        <w:t>a</w:t>
      </w:r>
      <w:r w:rsidR="00782395">
        <w:rPr>
          <w:rFonts w:ascii="Arial" w:hAnsi="Arial" w:cs="Arial"/>
          <w:b/>
          <w:sz w:val="24"/>
          <w:szCs w:val="24"/>
        </w:rPr>
        <w:t>uditing</w:t>
      </w:r>
    </w:p>
    <w:p w:rsidR="00A00CE4" w:rsidRDefault="00A00CE4" w:rsidP="00663EFC">
      <w:pPr>
        <w:pStyle w:val="ListParagraph"/>
        <w:numPr>
          <w:ilvl w:val="0"/>
          <w:numId w:val="5"/>
        </w:numPr>
        <w:spacing w:line="240" w:lineRule="auto"/>
        <w:ind w:left="357" w:hanging="357"/>
        <w:contextualSpacing w:val="0"/>
        <w:rPr>
          <w:rFonts w:ascii="Arial" w:hAnsi="Arial" w:cs="Arial"/>
          <w:sz w:val="24"/>
          <w:szCs w:val="24"/>
        </w:rPr>
      </w:pPr>
      <w:r>
        <w:rPr>
          <w:rFonts w:ascii="Arial" w:hAnsi="Arial" w:cs="Arial"/>
          <w:sz w:val="24"/>
          <w:szCs w:val="24"/>
        </w:rPr>
        <w:t>"</w:t>
      </w:r>
      <w:r w:rsidRPr="00A00CE4">
        <w:rPr>
          <w:rFonts w:ascii="Arial" w:hAnsi="Arial" w:cs="Arial"/>
          <w:sz w:val="24"/>
          <w:szCs w:val="24"/>
        </w:rPr>
        <w:t>Internal auditing is an independent, objective assurance and consulting activity designed to add value and improve an organisation’s operations. It helps an organisation accomplish its objectives by bringing a systematic, disciplined approach to evaluate and improve the effectiveness of risk management, control and governance processes.</w:t>
      </w:r>
      <w:r>
        <w:rPr>
          <w:rFonts w:ascii="Arial" w:hAnsi="Arial" w:cs="Arial"/>
          <w:sz w:val="24"/>
          <w:szCs w:val="24"/>
        </w:rPr>
        <w:t>"</w:t>
      </w:r>
    </w:p>
    <w:p w:rsidR="006B1108" w:rsidRDefault="006B1108" w:rsidP="00663EFC">
      <w:pPr>
        <w:pStyle w:val="ListParagraph"/>
        <w:numPr>
          <w:ilvl w:val="0"/>
          <w:numId w:val="5"/>
        </w:numPr>
        <w:spacing w:line="240" w:lineRule="auto"/>
        <w:ind w:left="357" w:hanging="357"/>
        <w:contextualSpacing w:val="0"/>
        <w:rPr>
          <w:rFonts w:ascii="Arial" w:hAnsi="Arial" w:cs="Arial"/>
          <w:sz w:val="24"/>
          <w:szCs w:val="24"/>
        </w:rPr>
      </w:pPr>
      <w:r>
        <w:rPr>
          <w:rFonts w:ascii="Arial" w:hAnsi="Arial" w:cs="Arial"/>
          <w:sz w:val="24"/>
          <w:szCs w:val="24"/>
        </w:rPr>
        <w:t>"</w:t>
      </w:r>
      <w:r w:rsidRPr="006B1108">
        <w:rPr>
          <w:rFonts w:ascii="Arial" w:hAnsi="Arial" w:cs="Arial"/>
          <w:sz w:val="24"/>
          <w:szCs w:val="24"/>
        </w:rPr>
        <w:t>The provision of assurance services is the primary role for internal audit in the UK public sector. This role requires the chief audit executive to provide an annual internal audit opinion based on an objective assessment of the framework of governance, risk management and control.</w:t>
      </w:r>
      <w:r>
        <w:rPr>
          <w:rFonts w:ascii="Arial" w:hAnsi="Arial" w:cs="Arial"/>
          <w:sz w:val="24"/>
          <w:szCs w:val="24"/>
        </w:rPr>
        <w:t>"</w:t>
      </w:r>
    </w:p>
    <w:p w:rsidR="00C54692" w:rsidRDefault="00C54692" w:rsidP="00663EFC">
      <w:pPr>
        <w:pStyle w:val="ListParagraph"/>
        <w:spacing w:after="0" w:line="240" w:lineRule="auto"/>
        <w:ind w:left="357"/>
        <w:contextualSpacing w:val="0"/>
        <w:jc w:val="right"/>
        <w:rPr>
          <w:rFonts w:ascii="Arial" w:hAnsi="Arial" w:cs="Arial"/>
          <w:i/>
          <w:sz w:val="24"/>
          <w:szCs w:val="24"/>
        </w:rPr>
      </w:pPr>
      <w:r w:rsidRPr="00C54692">
        <w:rPr>
          <w:rFonts w:ascii="Arial" w:hAnsi="Arial" w:cs="Arial"/>
          <w:i/>
          <w:sz w:val="24"/>
          <w:szCs w:val="24"/>
        </w:rPr>
        <w:t>The Institute of Internal Auditors</w:t>
      </w:r>
      <w:r w:rsidR="009176E2">
        <w:rPr>
          <w:rFonts w:ascii="Arial" w:hAnsi="Arial" w:cs="Arial"/>
          <w:i/>
          <w:sz w:val="24"/>
          <w:szCs w:val="24"/>
        </w:rPr>
        <w:t>,</w:t>
      </w:r>
      <w:r w:rsidRPr="00C54692">
        <w:rPr>
          <w:rFonts w:ascii="Arial" w:hAnsi="Arial" w:cs="Arial"/>
          <w:i/>
          <w:sz w:val="24"/>
          <w:szCs w:val="24"/>
        </w:rPr>
        <w:t xml:space="preserve"> </w:t>
      </w:r>
      <w:r w:rsidRPr="00C54692">
        <w:rPr>
          <w:rFonts w:ascii="Arial" w:hAnsi="Arial" w:cs="Arial"/>
          <w:sz w:val="24"/>
          <w:szCs w:val="24"/>
        </w:rPr>
        <w:t>and</w:t>
      </w:r>
    </w:p>
    <w:p w:rsidR="00A00CE4" w:rsidRPr="00C54692" w:rsidRDefault="00A00CE4" w:rsidP="00663EFC">
      <w:pPr>
        <w:pStyle w:val="ListParagraph"/>
        <w:spacing w:line="240" w:lineRule="auto"/>
        <w:ind w:left="360"/>
        <w:contextualSpacing w:val="0"/>
        <w:jc w:val="right"/>
        <w:rPr>
          <w:rFonts w:ascii="Arial" w:hAnsi="Arial" w:cs="Arial"/>
          <w:i/>
          <w:sz w:val="24"/>
          <w:szCs w:val="24"/>
        </w:rPr>
      </w:pPr>
      <w:r w:rsidRPr="00C54692">
        <w:rPr>
          <w:rFonts w:ascii="Arial" w:hAnsi="Arial" w:cs="Arial"/>
          <w:i/>
          <w:sz w:val="24"/>
          <w:szCs w:val="24"/>
        </w:rPr>
        <w:t>Public Secto</w:t>
      </w:r>
      <w:r w:rsidR="00C54692">
        <w:rPr>
          <w:rFonts w:ascii="Arial" w:hAnsi="Arial" w:cs="Arial"/>
          <w:i/>
          <w:sz w:val="24"/>
          <w:szCs w:val="24"/>
        </w:rPr>
        <w:t>r Internal Audit Standards,</w:t>
      </w:r>
      <w:r w:rsidRPr="00C54692">
        <w:rPr>
          <w:rFonts w:ascii="Arial" w:hAnsi="Arial" w:cs="Arial"/>
          <w:i/>
          <w:sz w:val="24"/>
          <w:szCs w:val="24"/>
        </w:rPr>
        <w:t xml:space="preserve"> </w:t>
      </w:r>
      <w:r w:rsidR="00C54692">
        <w:rPr>
          <w:rFonts w:ascii="Arial" w:hAnsi="Arial" w:cs="Arial"/>
          <w:i/>
          <w:sz w:val="24"/>
          <w:szCs w:val="24"/>
        </w:rPr>
        <w:t>2013</w:t>
      </w:r>
    </w:p>
    <w:p w:rsidR="001E74A8" w:rsidRDefault="001E74A8">
      <w:pPr>
        <w:rPr>
          <w:rFonts w:ascii="Arial" w:hAnsi="Arial" w:cs="Arial"/>
          <w:b/>
          <w:sz w:val="24"/>
          <w:szCs w:val="24"/>
        </w:rPr>
      </w:pPr>
      <w:r>
        <w:rPr>
          <w:rFonts w:ascii="Arial" w:hAnsi="Arial" w:cs="Arial"/>
          <w:b/>
          <w:sz w:val="24"/>
          <w:szCs w:val="24"/>
        </w:rPr>
        <w:br w:type="page"/>
      </w:r>
    </w:p>
    <w:p w:rsidR="00AA0828" w:rsidRPr="001805B9" w:rsidRDefault="00AA0828" w:rsidP="001805B9">
      <w:pPr>
        <w:spacing w:line="240" w:lineRule="auto"/>
        <w:rPr>
          <w:rFonts w:ascii="Arial" w:hAnsi="Arial" w:cs="Arial"/>
          <w:b/>
          <w:sz w:val="24"/>
          <w:szCs w:val="24"/>
        </w:rPr>
      </w:pPr>
      <w:r>
        <w:rPr>
          <w:rFonts w:ascii="Arial" w:hAnsi="Arial" w:cs="Arial"/>
          <w:b/>
          <w:sz w:val="24"/>
          <w:szCs w:val="24"/>
        </w:rPr>
        <w:lastRenderedPageBreak/>
        <w:t>Relevant regulations</w:t>
      </w:r>
    </w:p>
    <w:p w:rsidR="00AA0828" w:rsidRDefault="001805B9" w:rsidP="009176E2">
      <w:pPr>
        <w:pStyle w:val="ListParagraph"/>
        <w:numPr>
          <w:ilvl w:val="0"/>
          <w:numId w:val="5"/>
        </w:numPr>
        <w:tabs>
          <w:tab w:val="right" w:pos="9026"/>
        </w:tabs>
        <w:spacing w:line="240" w:lineRule="auto"/>
        <w:ind w:left="357" w:hanging="357"/>
        <w:contextualSpacing w:val="0"/>
        <w:rPr>
          <w:rFonts w:ascii="Arial" w:hAnsi="Arial" w:cs="Arial"/>
          <w:sz w:val="24"/>
          <w:szCs w:val="24"/>
        </w:rPr>
      </w:pPr>
      <w:r>
        <w:rPr>
          <w:rFonts w:ascii="Arial" w:hAnsi="Arial" w:cs="Arial"/>
          <w:sz w:val="24"/>
          <w:szCs w:val="24"/>
        </w:rPr>
        <w:t xml:space="preserve">Internal audit: </w:t>
      </w:r>
      <w:r w:rsidRPr="001805B9">
        <w:rPr>
          <w:rFonts w:ascii="Arial" w:hAnsi="Arial" w:cs="Arial"/>
          <w:sz w:val="24"/>
          <w:szCs w:val="24"/>
        </w:rPr>
        <w:t>"</w:t>
      </w:r>
      <w:r w:rsidR="00AA0828" w:rsidRPr="001805B9">
        <w:rPr>
          <w:rFonts w:ascii="Arial" w:hAnsi="Arial" w:cs="Arial"/>
          <w:sz w:val="24"/>
          <w:szCs w:val="24"/>
        </w:rPr>
        <w:t>A relevant authority must undertake an effective internal audit to evaluate the</w:t>
      </w:r>
      <w:r w:rsidRPr="001805B9">
        <w:rPr>
          <w:rFonts w:ascii="Arial" w:hAnsi="Arial" w:cs="Arial"/>
          <w:sz w:val="24"/>
          <w:szCs w:val="24"/>
        </w:rPr>
        <w:t xml:space="preserve"> </w:t>
      </w:r>
      <w:r w:rsidR="00AA0828" w:rsidRPr="001805B9">
        <w:rPr>
          <w:rFonts w:ascii="Arial" w:hAnsi="Arial" w:cs="Arial"/>
          <w:sz w:val="24"/>
          <w:szCs w:val="24"/>
        </w:rPr>
        <w:t xml:space="preserve">effectiveness of its risk management, control and governance processes, </w:t>
      </w:r>
      <w:proofErr w:type="gramStart"/>
      <w:r w:rsidR="00AA0828" w:rsidRPr="001805B9">
        <w:rPr>
          <w:rFonts w:ascii="Arial" w:hAnsi="Arial" w:cs="Arial"/>
          <w:sz w:val="24"/>
          <w:szCs w:val="24"/>
        </w:rPr>
        <w:t>taking</w:t>
      </w:r>
      <w:proofErr w:type="gramEnd"/>
      <w:r w:rsidR="00AA0828" w:rsidRPr="001805B9">
        <w:rPr>
          <w:rFonts w:ascii="Arial" w:hAnsi="Arial" w:cs="Arial"/>
          <w:sz w:val="24"/>
          <w:szCs w:val="24"/>
        </w:rPr>
        <w:t xml:space="preserve"> into account public sector internal auditing standards or guidance.</w:t>
      </w:r>
      <w:r>
        <w:rPr>
          <w:rFonts w:ascii="Arial" w:hAnsi="Arial" w:cs="Arial"/>
          <w:sz w:val="24"/>
          <w:szCs w:val="24"/>
        </w:rPr>
        <w:t>"</w:t>
      </w:r>
      <w:r w:rsidR="009176E2">
        <w:rPr>
          <w:rFonts w:ascii="Arial" w:hAnsi="Arial" w:cs="Arial"/>
          <w:sz w:val="24"/>
          <w:szCs w:val="24"/>
        </w:rPr>
        <w:tab/>
      </w:r>
      <w:r w:rsidR="009176E2" w:rsidRPr="009176E2">
        <w:rPr>
          <w:rFonts w:ascii="Arial" w:hAnsi="Arial" w:cs="Arial"/>
          <w:i/>
          <w:sz w:val="24"/>
          <w:szCs w:val="24"/>
        </w:rPr>
        <w:t>Regulation 5</w:t>
      </w:r>
      <w:r w:rsidR="009176E2">
        <w:rPr>
          <w:rFonts w:ascii="Arial" w:hAnsi="Arial" w:cs="Arial"/>
          <w:i/>
          <w:sz w:val="24"/>
          <w:szCs w:val="24"/>
        </w:rPr>
        <w:t>.</w:t>
      </w:r>
      <w:r w:rsidR="009176E2" w:rsidRPr="009176E2">
        <w:rPr>
          <w:rFonts w:ascii="Arial" w:hAnsi="Arial" w:cs="Arial"/>
          <w:i/>
          <w:sz w:val="24"/>
          <w:szCs w:val="24"/>
        </w:rPr>
        <w:t xml:space="preserve"> (1)</w:t>
      </w:r>
    </w:p>
    <w:p w:rsidR="001805B9" w:rsidRDefault="001805B9" w:rsidP="009176E2">
      <w:pPr>
        <w:pStyle w:val="ListParagraph"/>
        <w:numPr>
          <w:ilvl w:val="0"/>
          <w:numId w:val="5"/>
        </w:numPr>
        <w:tabs>
          <w:tab w:val="right" w:pos="9026"/>
        </w:tabs>
        <w:spacing w:line="240" w:lineRule="auto"/>
        <w:ind w:left="357" w:hanging="357"/>
        <w:contextualSpacing w:val="0"/>
        <w:rPr>
          <w:rFonts w:ascii="Arial" w:hAnsi="Arial" w:cs="Arial"/>
          <w:sz w:val="24"/>
          <w:szCs w:val="24"/>
        </w:rPr>
      </w:pPr>
      <w:r w:rsidRPr="001805B9">
        <w:rPr>
          <w:rFonts w:ascii="Arial" w:hAnsi="Arial" w:cs="Arial"/>
          <w:sz w:val="24"/>
          <w:szCs w:val="24"/>
        </w:rPr>
        <w:t>Review of internal control system: "A relevant authority must, each financial year (a) conduct a review of the effectiveness of the system of internal control … and</w:t>
      </w:r>
      <w:r>
        <w:rPr>
          <w:rFonts w:ascii="Arial" w:hAnsi="Arial" w:cs="Arial"/>
          <w:sz w:val="24"/>
          <w:szCs w:val="24"/>
        </w:rPr>
        <w:t xml:space="preserve"> </w:t>
      </w:r>
      <w:r w:rsidRPr="001805B9">
        <w:rPr>
          <w:rFonts w:ascii="Arial" w:hAnsi="Arial" w:cs="Arial"/>
          <w:sz w:val="24"/>
          <w:szCs w:val="24"/>
        </w:rPr>
        <w:t>(b) prepare an annual governance statement</w:t>
      </w:r>
      <w:r>
        <w:rPr>
          <w:rFonts w:ascii="Arial" w:hAnsi="Arial" w:cs="Arial"/>
          <w:sz w:val="24"/>
          <w:szCs w:val="24"/>
        </w:rPr>
        <w:t>."</w:t>
      </w:r>
      <w:r w:rsidR="009176E2">
        <w:rPr>
          <w:rFonts w:ascii="Arial" w:hAnsi="Arial" w:cs="Arial"/>
          <w:sz w:val="24"/>
          <w:szCs w:val="24"/>
        </w:rPr>
        <w:t xml:space="preserve"> </w:t>
      </w:r>
      <w:r w:rsidR="009176E2">
        <w:rPr>
          <w:rFonts w:ascii="Arial" w:hAnsi="Arial" w:cs="Arial"/>
          <w:sz w:val="24"/>
          <w:szCs w:val="24"/>
        </w:rPr>
        <w:tab/>
      </w:r>
      <w:r w:rsidR="009176E2" w:rsidRPr="009176E2">
        <w:rPr>
          <w:rFonts w:ascii="Arial" w:hAnsi="Arial" w:cs="Arial"/>
          <w:i/>
          <w:sz w:val="24"/>
          <w:szCs w:val="24"/>
        </w:rPr>
        <w:t>Regulation 6. (1)</w:t>
      </w:r>
    </w:p>
    <w:p w:rsidR="001805B9" w:rsidRPr="001805B9" w:rsidRDefault="001805B9" w:rsidP="001727EC">
      <w:pPr>
        <w:pStyle w:val="ListParagraph"/>
        <w:spacing w:line="240" w:lineRule="auto"/>
        <w:ind w:left="357"/>
        <w:contextualSpacing w:val="0"/>
        <w:jc w:val="right"/>
        <w:rPr>
          <w:rFonts w:ascii="Arial" w:hAnsi="Arial" w:cs="Arial"/>
          <w:i/>
          <w:sz w:val="24"/>
          <w:szCs w:val="24"/>
        </w:rPr>
      </w:pPr>
      <w:r w:rsidRPr="001805B9">
        <w:rPr>
          <w:rFonts w:ascii="Arial" w:hAnsi="Arial" w:cs="Arial"/>
          <w:i/>
          <w:sz w:val="24"/>
          <w:szCs w:val="24"/>
        </w:rPr>
        <w:t>Accounts and Audit Regulations 2015</w:t>
      </w:r>
    </w:p>
    <w:p w:rsidR="008D4345" w:rsidRPr="008D4345" w:rsidRDefault="008D4345" w:rsidP="008D4345">
      <w:pPr>
        <w:spacing w:line="240" w:lineRule="auto"/>
        <w:rPr>
          <w:rFonts w:ascii="Arial" w:hAnsi="Arial" w:cs="Arial"/>
          <w:b/>
          <w:sz w:val="24"/>
          <w:szCs w:val="24"/>
        </w:rPr>
      </w:pPr>
      <w:r w:rsidRPr="008D4345">
        <w:rPr>
          <w:rFonts w:ascii="Arial" w:hAnsi="Arial" w:cs="Arial"/>
          <w:b/>
          <w:sz w:val="24"/>
          <w:szCs w:val="24"/>
        </w:rPr>
        <w:t>Internal audit work during 2015/16</w:t>
      </w:r>
    </w:p>
    <w:p w:rsidR="008D4345" w:rsidRDefault="006B7A42" w:rsidP="002C7378">
      <w:pPr>
        <w:pStyle w:val="ListParagraph"/>
        <w:numPr>
          <w:ilvl w:val="0"/>
          <w:numId w:val="5"/>
        </w:numPr>
        <w:spacing w:line="240" w:lineRule="auto"/>
        <w:ind w:left="357" w:hanging="357"/>
        <w:contextualSpacing w:val="0"/>
        <w:rPr>
          <w:rFonts w:ascii="Arial" w:hAnsi="Arial" w:cs="Arial"/>
          <w:sz w:val="24"/>
          <w:szCs w:val="24"/>
        </w:rPr>
      </w:pPr>
      <w:r w:rsidRPr="00F54330">
        <w:rPr>
          <w:rFonts w:ascii="Arial" w:hAnsi="Arial" w:cs="Arial"/>
          <w:sz w:val="24"/>
          <w:szCs w:val="24"/>
        </w:rPr>
        <w:t xml:space="preserve">In the context of the significant challenges </w:t>
      </w:r>
      <w:r w:rsidR="003E058E" w:rsidRPr="00F54330">
        <w:rPr>
          <w:rFonts w:ascii="Arial" w:hAnsi="Arial" w:cs="Arial"/>
          <w:sz w:val="24"/>
          <w:szCs w:val="24"/>
        </w:rPr>
        <w:t xml:space="preserve">currently </w:t>
      </w:r>
      <w:r w:rsidRPr="00F54330">
        <w:rPr>
          <w:rFonts w:ascii="Arial" w:hAnsi="Arial" w:cs="Arial"/>
          <w:sz w:val="24"/>
          <w:szCs w:val="24"/>
        </w:rPr>
        <w:t>facing the council, t</w:t>
      </w:r>
      <w:r w:rsidR="00875160" w:rsidRPr="00F54330">
        <w:rPr>
          <w:rFonts w:ascii="Arial" w:hAnsi="Arial" w:cs="Arial"/>
          <w:sz w:val="24"/>
          <w:szCs w:val="24"/>
        </w:rPr>
        <w:t xml:space="preserve">he Audit and Governance Committee and Management Team </w:t>
      </w:r>
      <w:r w:rsidR="00167E25" w:rsidRPr="00F54330">
        <w:rPr>
          <w:rFonts w:ascii="Arial" w:hAnsi="Arial" w:cs="Arial"/>
          <w:sz w:val="24"/>
          <w:szCs w:val="24"/>
        </w:rPr>
        <w:t>have previously agreed that</w:t>
      </w:r>
      <w:r w:rsidR="00875160" w:rsidRPr="00F54330">
        <w:rPr>
          <w:rFonts w:ascii="Arial" w:hAnsi="Arial" w:cs="Arial"/>
          <w:sz w:val="24"/>
          <w:szCs w:val="24"/>
        </w:rPr>
        <w:t xml:space="preserve"> the Internal Audit Service </w:t>
      </w:r>
      <w:r w:rsidR="00F54330" w:rsidRPr="00F54330">
        <w:rPr>
          <w:rFonts w:ascii="Arial" w:hAnsi="Arial" w:cs="Arial"/>
          <w:sz w:val="24"/>
          <w:szCs w:val="24"/>
        </w:rPr>
        <w:t>will</w:t>
      </w:r>
      <w:r w:rsidR="00875160" w:rsidRPr="00F54330">
        <w:rPr>
          <w:rFonts w:ascii="Arial" w:hAnsi="Arial" w:cs="Arial"/>
          <w:sz w:val="24"/>
          <w:szCs w:val="24"/>
        </w:rPr>
        <w:t xml:space="preserve"> not </w:t>
      </w:r>
      <w:r w:rsidR="00167E25" w:rsidRPr="00F54330">
        <w:rPr>
          <w:rFonts w:ascii="Arial" w:hAnsi="Arial" w:cs="Arial"/>
          <w:sz w:val="24"/>
          <w:szCs w:val="24"/>
        </w:rPr>
        <w:t xml:space="preserve">complete a </w:t>
      </w:r>
      <w:r w:rsidR="003E058E" w:rsidRPr="00F54330">
        <w:rPr>
          <w:rFonts w:ascii="Arial" w:hAnsi="Arial" w:cs="Arial"/>
          <w:sz w:val="24"/>
          <w:szCs w:val="24"/>
        </w:rPr>
        <w:t xml:space="preserve">full </w:t>
      </w:r>
      <w:r w:rsidR="00167E25" w:rsidRPr="00F54330">
        <w:rPr>
          <w:rFonts w:ascii="Arial" w:hAnsi="Arial" w:cs="Arial"/>
          <w:sz w:val="24"/>
          <w:szCs w:val="24"/>
        </w:rPr>
        <w:t xml:space="preserve">programme of work to support an overall opinion </w:t>
      </w:r>
      <w:r w:rsidRPr="00F54330">
        <w:rPr>
          <w:rFonts w:ascii="Arial" w:hAnsi="Arial" w:cs="Arial"/>
          <w:sz w:val="24"/>
          <w:szCs w:val="24"/>
        </w:rPr>
        <w:t>on the c</w:t>
      </w:r>
      <w:r w:rsidR="00167E25" w:rsidRPr="00F54330">
        <w:rPr>
          <w:rFonts w:ascii="Arial" w:hAnsi="Arial" w:cs="Arial"/>
          <w:sz w:val="24"/>
          <w:szCs w:val="24"/>
        </w:rPr>
        <w:t>ouncil's framework of governance, risk management and control for 2015/16.</w:t>
      </w:r>
      <w:r w:rsidR="003E058E" w:rsidRPr="00F54330">
        <w:rPr>
          <w:rFonts w:ascii="Arial" w:hAnsi="Arial" w:cs="Arial"/>
          <w:sz w:val="24"/>
          <w:szCs w:val="24"/>
        </w:rPr>
        <w:t xml:space="preserve"> </w:t>
      </w:r>
      <w:r w:rsidR="009105F7">
        <w:rPr>
          <w:rFonts w:ascii="Arial" w:hAnsi="Arial" w:cs="Arial"/>
          <w:sz w:val="24"/>
          <w:szCs w:val="24"/>
        </w:rPr>
        <w:t>It was agreed that t</w:t>
      </w:r>
      <w:r w:rsidR="009176E2" w:rsidRPr="00F54330">
        <w:rPr>
          <w:rFonts w:ascii="Arial" w:hAnsi="Arial" w:cs="Arial"/>
          <w:sz w:val="24"/>
          <w:szCs w:val="24"/>
        </w:rPr>
        <w:t xml:space="preserve">he Internal Audit Service </w:t>
      </w:r>
      <w:r w:rsidR="009105F7">
        <w:rPr>
          <w:rFonts w:ascii="Arial" w:hAnsi="Arial" w:cs="Arial"/>
          <w:sz w:val="24"/>
          <w:szCs w:val="24"/>
        </w:rPr>
        <w:t>would</w:t>
      </w:r>
      <w:r w:rsidR="009176E2" w:rsidRPr="00F54330">
        <w:rPr>
          <w:rFonts w:ascii="Arial" w:hAnsi="Arial" w:cs="Arial"/>
          <w:sz w:val="24"/>
          <w:szCs w:val="24"/>
        </w:rPr>
        <w:t xml:space="preserve"> instead </w:t>
      </w:r>
      <w:r w:rsidR="003E058E" w:rsidRPr="00F54330">
        <w:rPr>
          <w:rFonts w:ascii="Arial" w:hAnsi="Arial" w:cs="Arial"/>
          <w:sz w:val="24"/>
          <w:szCs w:val="24"/>
        </w:rPr>
        <w:t xml:space="preserve">provide assurance </w:t>
      </w:r>
      <w:r w:rsidR="009176E2" w:rsidRPr="00F54330">
        <w:rPr>
          <w:rFonts w:ascii="Arial" w:hAnsi="Arial" w:cs="Arial"/>
          <w:sz w:val="24"/>
          <w:szCs w:val="24"/>
        </w:rPr>
        <w:t xml:space="preserve">only </w:t>
      </w:r>
      <w:r w:rsidR="003E058E" w:rsidRPr="00F54330">
        <w:rPr>
          <w:rFonts w:ascii="Arial" w:hAnsi="Arial" w:cs="Arial"/>
          <w:sz w:val="24"/>
          <w:szCs w:val="24"/>
        </w:rPr>
        <w:t>over the council's main fin</w:t>
      </w:r>
      <w:r w:rsidR="009176E2" w:rsidRPr="00F54330">
        <w:rPr>
          <w:rFonts w:ascii="Arial" w:hAnsi="Arial" w:cs="Arial"/>
          <w:sz w:val="24"/>
          <w:szCs w:val="24"/>
        </w:rPr>
        <w:t xml:space="preserve">ancial systems as set out below, and support the Finance Service's work on key projects. </w:t>
      </w:r>
      <w:r w:rsidR="002C7378">
        <w:rPr>
          <w:rFonts w:ascii="Arial" w:hAnsi="Arial" w:cs="Arial"/>
          <w:sz w:val="24"/>
          <w:szCs w:val="24"/>
        </w:rPr>
        <w:t xml:space="preserve">This approach will enable no overall assurance to be given by the Internal Audit Service on the council's </w:t>
      </w:r>
      <w:r w:rsidR="002C7378" w:rsidRPr="006B1108">
        <w:rPr>
          <w:rFonts w:ascii="Arial" w:hAnsi="Arial" w:cs="Arial"/>
          <w:sz w:val="24"/>
          <w:szCs w:val="24"/>
        </w:rPr>
        <w:t>governance, risk management and control</w:t>
      </w:r>
      <w:r w:rsidR="001C48AA">
        <w:rPr>
          <w:rFonts w:ascii="Arial" w:hAnsi="Arial" w:cs="Arial"/>
          <w:sz w:val="24"/>
          <w:szCs w:val="24"/>
        </w:rPr>
        <w:t xml:space="preserve"> processes</w:t>
      </w:r>
      <w:r w:rsidR="002C7378">
        <w:rPr>
          <w:rFonts w:ascii="Arial" w:hAnsi="Arial" w:cs="Arial"/>
          <w:sz w:val="24"/>
          <w:szCs w:val="24"/>
        </w:rPr>
        <w:t xml:space="preserve">. </w:t>
      </w:r>
      <w:proofErr w:type="spellStart"/>
      <w:r w:rsidR="001C48AA">
        <w:rPr>
          <w:rFonts w:ascii="Arial" w:hAnsi="Arial" w:cs="Arial"/>
          <w:vanish/>
          <w:sz w:val="24"/>
          <w:szCs w:val="24"/>
        </w:rPr>
        <w:t>Ho</w:t>
      </w:r>
      <w:r w:rsidR="001C48AA">
        <w:rPr>
          <w:rFonts w:ascii="Arial" w:hAnsi="Arial" w:cs="Arial"/>
          <w:sz w:val="24"/>
          <w:szCs w:val="24"/>
        </w:rPr>
        <w:t>However</w:t>
      </w:r>
      <w:proofErr w:type="spellEnd"/>
      <w:r w:rsidR="001C48AA">
        <w:rPr>
          <w:rFonts w:ascii="Arial" w:hAnsi="Arial" w:cs="Arial"/>
          <w:sz w:val="24"/>
          <w:szCs w:val="24"/>
        </w:rPr>
        <w:t xml:space="preserve"> m</w:t>
      </w:r>
      <w:r w:rsidR="002C7378">
        <w:rPr>
          <w:rFonts w:ascii="Arial" w:hAnsi="Arial" w:cs="Arial"/>
          <w:sz w:val="24"/>
          <w:szCs w:val="24"/>
        </w:rPr>
        <w:t xml:space="preserve">anagement's own assessment and the work of </w:t>
      </w:r>
      <w:r w:rsidR="002C7378" w:rsidRPr="00AB0CA4">
        <w:rPr>
          <w:rFonts w:ascii="Arial" w:hAnsi="Arial" w:cs="Arial"/>
          <w:sz w:val="24"/>
          <w:szCs w:val="24"/>
        </w:rPr>
        <w:t>external regulators</w:t>
      </w:r>
      <w:r w:rsidR="002C7378">
        <w:rPr>
          <w:rFonts w:ascii="Arial" w:hAnsi="Arial" w:cs="Arial"/>
          <w:sz w:val="24"/>
          <w:szCs w:val="24"/>
        </w:rPr>
        <w:t xml:space="preserve"> will inform the council's review of the effectiveness of its system of internal control and the </w:t>
      </w:r>
      <w:r w:rsidR="001C48AA">
        <w:rPr>
          <w:rFonts w:ascii="Arial" w:hAnsi="Arial" w:cs="Arial"/>
          <w:sz w:val="24"/>
          <w:szCs w:val="24"/>
        </w:rPr>
        <w:t xml:space="preserve">annual </w:t>
      </w:r>
      <w:r w:rsidR="002C7378">
        <w:rPr>
          <w:rFonts w:ascii="Arial" w:hAnsi="Arial" w:cs="Arial"/>
          <w:sz w:val="24"/>
          <w:szCs w:val="24"/>
        </w:rPr>
        <w:t xml:space="preserve">governance statement </w:t>
      </w:r>
      <w:r w:rsidR="001C48AA">
        <w:rPr>
          <w:rFonts w:ascii="Arial" w:hAnsi="Arial" w:cs="Arial"/>
          <w:sz w:val="24"/>
          <w:szCs w:val="24"/>
        </w:rPr>
        <w:t xml:space="preserve">that will be published </w:t>
      </w:r>
      <w:r w:rsidR="002C7378">
        <w:rPr>
          <w:rFonts w:ascii="Arial" w:hAnsi="Arial" w:cs="Arial"/>
          <w:sz w:val="24"/>
          <w:szCs w:val="24"/>
        </w:rPr>
        <w:t>in June 2016.</w:t>
      </w:r>
    </w:p>
    <w:p w:rsidR="001C48AA" w:rsidRPr="001C48AA" w:rsidRDefault="001C48AA" w:rsidP="001E74A8">
      <w:pPr>
        <w:pStyle w:val="ListParagraph"/>
        <w:numPr>
          <w:ilvl w:val="0"/>
          <w:numId w:val="5"/>
        </w:numPr>
        <w:spacing w:line="240" w:lineRule="auto"/>
        <w:ind w:left="357" w:hanging="357"/>
        <w:contextualSpacing w:val="0"/>
        <w:rPr>
          <w:rFonts w:ascii="Arial" w:hAnsi="Arial" w:cs="Arial"/>
          <w:sz w:val="24"/>
          <w:szCs w:val="24"/>
        </w:rPr>
      </w:pPr>
      <w:r w:rsidRPr="001C48AA">
        <w:rPr>
          <w:rFonts w:ascii="Arial" w:hAnsi="Arial" w:cs="Arial"/>
          <w:sz w:val="24"/>
          <w:szCs w:val="24"/>
        </w:rPr>
        <w:t>The Internal Audit Service will not complete a risk-based programme of work to sup</w:t>
      </w:r>
      <w:r w:rsidR="003A2E97">
        <w:rPr>
          <w:rFonts w:ascii="Arial" w:hAnsi="Arial" w:cs="Arial"/>
          <w:sz w:val="24"/>
          <w:szCs w:val="24"/>
        </w:rPr>
        <w:t>port an overall opinion on the c</w:t>
      </w:r>
      <w:r w:rsidRPr="001C48AA">
        <w:rPr>
          <w:rFonts w:ascii="Arial" w:hAnsi="Arial" w:cs="Arial"/>
          <w:sz w:val="24"/>
          <w:szCs w:val="24"/>
        </w:rPr>
        <w:t xml:space="preserve">ouncil's framework of governance, risk management and control for 2015/16 but will focus its assurance work solely on the </w:t>
      </w:r>
      <w:r>
        <w:rPr>
          <w:rFonts w:ascii="Arial" w:hAnsi="Arial" w:cs="Arial"/>
          <w:sz w:val="24"/>
          <w:szCs w:val="24"/>
        </w:rPr>
        <w:t>c</w:t>
      </w:r>
      <w:r w:rsidRPr="001C48AA">
        <w:rPr>
          <w:rFonts w:ascii="Arial" w:hAnsi="Arial" w:cs="Arial"/>
          <w:sz w:val="24"/>
          <w:szCs w:val="24"/>
        </w:rPr>
        <w:t>ouncil's centrally managed key financial systems:</w:t>
      </w:r>
    </w:p>
    <w:p w:rsidR="001C48AA" w:rsidRPr="001C48AA" w:rsidRDefault="001C48AA" w:rsidP="001C48AA">
      <w:pPr>
        <w:pStyle w:val="ListParagraph"/>
        <w:numPr>
          <w:ilvl w:val="0"/>
          <w:numId w:val="9"/>
        </w:numPr>
        <w:spacing w:line="240" w:lineRule="auto"/>
        <w:contextualSpacing w:val="0"/>
        <w:rPr>
          <w:rFonts w:ascii="Arial" w:hAnsi="Arial" w:cs="Arial"/>
          <w:sz w:val="24"/>
          <w:szCs w:val="24"/>
        </w:rPr>
      </w:pPr>
      <w:r w:rsidRPr="001C48AA">
        <w:rPr>
          <w:rFonts w:ascii="Arial" w:hAnsi="Arial" w:cs="Arial"/>
          <w:sz w:val="24"/>
          <w:szCs w:val="24"/>
        </w:rPr>
        <w:t>The general financial ledger</w:t>
      </w:r>
      <w:r w:rsidR="001E74A8">
        <w:rPr>
          <w:rFonts w:ascii="Arial" w:hAnsi="Arial" w:cs="Arial"/>
          <w:sz w:val="24"/>
          <w:szCs w:val="24"/>
        </w:rPr>
        <w:t>;</w:t>
      </w:r>
    </w:p>
    <w:p w:rsidR="001C48AA" w:rsidRPr="001C48AA" w:rsidRDefault="001C48AA" w:rsidP="001C48AA">
      <w:pPr>
        <w:pStyle w:val="ListParagraph"/>
        <w:numPr>
          <w:ilvl w:val="0"/>
          <w:numId w:val="9"/>
        </w:numPr>
        <w:spacing w:line="240" w:lineRule="auto"/>
        <w:contextualSpacing w:val="0"/>
        <w:rPr>
          <w:rFonts w:ascii="Arial" w:hAnsi="Arial" w:cs="Arial"/>
          <w:sz w:val="24"/>
          <w:szCs w:val="24"/>
        </w:rPr>
      </w:pPr>
      <w:r w:rsidRPr="001C48AA">
        <w:rPr>
          <w:rFonts w:ascii="Arial" w:hAnsi="Arial" w:cs="Arial"/>
          <w:sz w:val="24"/>
          <w:szCs w:val="24"/>
        </w:rPr>
        <w:t>Cash and banking</w:t>
      </w:r>
      <w:r w:rsidR="001E74A8">
        <w:rPr>
          <w:rFonts w:ascii="Arial" w:hAnsi="Arial" w:cs="Arial"/>
          <w:sz w:val="24"/>
          <w:szCs w:val="24"/>
        </w:rPr>
        <w:t>;</w:t>
      </w:r>
    </w:p>
    <w:p w:rsidR="001C48AA" w:rsidRPr="001C48AA" w:rsidRDefault="001C48AA" w:rsidP="001C48AA">
      <w:pPr>
        <w:pStyle w:val="ListParagraph"/>
        <w:numPr>
          <w:ilvl w:val="0"/>
          <w:numId w:val="9"/>
        </w:numPr>
        <w:spacing w:line="240" w:lineRule="auto"/>
        <w:contextualSpacing w:val="0"/>
        <w:rPr>
          <w:rFonts w:ascii="Arial" w:hAnsi="Arial" w:cs="Arial"/>
          <w:sz w:val="24"/>
          <w:szCs w:val="24"/>
        </w:rPr>
      </w:pPr>
      <w:r w:rsidRPr="001C48AA">
        <w:rPr>
          <w:rFonts w:ascii="Arial" w:hAnsi="Arial" w:cs="Arial"/>
          <w:sz w:val="24"/>
          <w:szCs w:val="24"/>
        </w:rPr>
        <w:t>Accounts payable system</w:t>
      </w:r>
      <w:r w:rsidR="001E74A8">
        <w:rPr>
          <w:rFonts w:ascii="Arial" w:hAnsi="Arial" w:cs="Arial"/>
          <w:sz w:val="24"/>
          <w:szCs w:val="24"/>
        </w:rPr>
        <w:t>;</w:t>
      </w:r>
    </w:p>
    <w:p w:rsidR="001C48AA" w:rsidRPr="001C48AA" w:rsidRDefault="001C48AA" w:rsidP="001C48AA">
      <w:pPr>
        <w:pStyle w:val="ListParagraph"/>
        <w:numPr>
          <w:ilvl w:val="0"/>
          <w:numId w:val="9"/>
        </w:numPr>
        <w:spacing w:line="240" w:lineRule="auto"/>
        <w:contextualSpacing w:val="0"/>
        <w:rPr>
          <w:rFonts w:ascii="Arial" w:hAnsi="Arial" w:cs="Arial"/>
          <w:sz w:val="24"/>
          <w:szCs w:val="24"/>
        </w:rPr>
      </w:pPr>
      <w:r w:rsidRPr="001C48AA">
        <w:rPr>
          <w:rFonts w:ascii="Arial" w:hAnsi="Arial" w:cs="Arial"/>
          <w:sz w:val="24"/>
          <w:szCs w:val="24"/>
        </w:rPr>
        <w:t>Accounts receivable and debt management system</w:t>
      </w:r>
      <w:r w:rsidR="001E74A8">
        <w:rPr>
          <w:rFonts w:ascii="Arial" w:hAnsi="Arial" w:cs="Arial"/>
          <w:sz w:val="24"/>
          <w:szCs w:val="24"/>
        </w:rPr>
        <w:t>;</w:t>
      </w:r>
    </w:p>
    <w:p w:rsidR="001C48AA" w:rsidRPr="001C48AA" w:rsidRDefault="001C48AA" w:rsidP="001C48AA">
      <w:pPr>
        <w:pStyle w:val="ListParagraph"/>
        <w:numPr>
          <w:ilvl w:val="0"/>
          <w:numId w:val="9"/>
        </w:numPr>
        <w:spacing w:line="240" w:lineRule="auto"/>
        <w:contextualSpacing w:val="0"/>
        <w:rPr>
          <w:rFonts w:ascii="Arial" w:hAnsi="Arial" w:cs="Arial"/>
          <w:sz w:val="24"/>
          <w:szCs w:val="24"/>
        </w:rPr>
      </w:pPr>
      <w:r w:rsidRPr="001C48AA">
        <w:rPr>
          <w:rFonts w:ascii="Arial" w:hAnsi="Arial" w:cs="Arial"/>
          <w:sz w:val="24"/>
          <w:szCs w:val="24"/>
        </w:rPr>
        <w:t>Payroll</w:t>
      </w:r>
      <w:r w:rsidR="001E74A8">
        <w:rPr>
          <w:rFonts w:ascii="Arial" w:hAnsi="Arial" w:cs="Arial"/>
          <w:sz w:val="24"/>
          <w:szCs w:val="24"/>
        </w:rPr>
        <w:t>;</w:t>
      </w:r>
    </w:p>
    <w:p w:rsidR="001C48AA" w:rsidRPr="001C48AA" w:rsidRDefault="001C48AA" w:rsidP="001C48AA">
      <w:pPr>
        <w:pStyle w:val="ListParagraph"/>
        <w:numPr>
          <w:ilvl w:val="0"/>
          <w:numId w:val="9"/>
        </w:numPr>
        <w:spacing w:line="240" w:lineRule="auto"/>
        <w:contextualSpacing w:val="0"/>
        <w:rPr>
          <w:rFonts w:ascii="Arial" w:hAnsi="Arial" w:cs="Arial"/>
          <w:sz w:val="24"/>
          <w:szCs w:val="24"/>
        </w:rPr>
      </w:pPr>
      <w:r w:rsidRPr="001C48AA">
        <w:rPr>
          <w:rFonts w:ascii="Arial" w:hAnsi="Arial" w:cs="Arial"/>
          <w:sz w:val="24"/>
          <w:szCs w:val="24"/>
        </w:rPr>
        <w:t>Treasury management</w:t>
      </w:r>
      <w:r w:rsidR="001E74A8">
        <w:rPr>
          <w:rFonts w:ascii="Arial" w:hAnsi="Arial" w:cs="Arial"/>
          <w:sz w:val="24"/>
          <w:szCs w:val="24"/>
        </w:rPr>
        <w:t>; and</w:t>
      </w:r>
    </w:p>
    <w:p w:rsidR="001C48AA" w:rsidRDefault="001C48AA" w:rsidP="001C48AA">
      <w:pPr>
        <w:pStyle w:val="ListParagraph"/>
        <w:numPr>
          <w:ilvl w:val="0"/>
          <w:numId w:val="9"/>
        </w:numPr>
        <w:spacing w:line="240" w:lineRule="auto"/>
        <w:contextualSpacing w:val="0"/>
        <w:rPr>
          <w:rFonts w:ascii="Arial" w:hAnsi="Arial" w:cs="Arial"/>
          <w:sz w:val="24"/>
          <w:szCs w:val="24"/>
        </w:rPr>
      </w:pPr>
      <w:r w:rsidRPr="001C48AA">
        <w:rPr>
          <w:rFonts w:ascii="Arial" w:hAnsi="Arial" w:cs="Arial"/>
          <w:sz w:val="24"/>
          <w:szCs w:val="24"/>
        </w:rPr>
        <w:t>VAT.</w:t>
      </w:r>
    </w:p>
    <w:p w:rsidR="001C48AA" w:rsidRPr="001C48AA" w:rsidRDefault="001C48AA" w:rsidP="001C48AA">
      <w:pPr>
        <w:pStyle w:val="ListParagraph"/>
        <w:numPr>
          <w:ilvl w:val="0"/>
          <w:numId w:val="5"/>
        </w:numPr>
        <w:spacing w:line="240" w:lineRule="auto"/>
        <w:ind w:left="357" w:hanging="357"/>
        <w:contextualSpacing w:val="0"/>
        <w:rPr>
          <w:rFonts w:ascii="Arial" w:hAnsi="Arial" w:cs="Arial"/>
          <w:sz w:val="24"/>
          <w:szCs w:val="24"/>
        </w:rPr>
      </w:pPr>
      <w:r>
        <w:rPr>
          <w:rFonts w:ascii="Arial" w:hAnsi="Arial" w:cs="Arial"/>
          <w:sz w:val="24"/>
          <w:szCs w:val="24"/>
        </w:rPr>
        <w:t xml:space="preserve">Work </w:t>
      </w:r>
      <w:r w:rsidR="00D9630E">
        <w:rPr>
          <w:rFonts w:ascii="Arial" w:hAnsi="Arial" w:cs="Arial"/>
          <w:sz w:val="24"/>
          <w:szCs w:val="24"/>
        </w:rPr>
        <w:t>on the central accounts payable and payroll systems is almost complete</w:t>
      </w:r>
      <w:r w:rsidR="003C74BB">
        <w:rPr>
          <w:rFonts w:ascii="Arial" w:hAnsi="Arial" w:cs="Arial"/>
          <w:sz w:val="24"/>
          <w:szCs w:val="24"/>
        </w:rPr>
        <w:t>, and wo</w:t>
      </w:r>
      <w:r w:rsidR="00D9630E">
        <w:rPr>
          <w:rFonts w:ascii="Arial" w:hAnsi="Arial" w:cs="Arial"/>
          <w:sz w:val="24"/>
          <w:szCs w:val="24"/>
        </w:rPr>
        <w:t xml:space="preserve">rk on </w:t>
      </w:r>
      <w:r w:rsidR="003C74BB">
        <w:rPr>
          <w:rFonts w:ascii="Arial" w:hAnsi="Arial" w:cs="Arial"/>
          <w:sz w:val="24"/>
          <w:szCs w:val="24"/>
        </w:rPr>
        <w:t xml:space="preserve">treasury management, </w:t>
      </w:r>
      <w:r w:rsidR="00D9630E">
        <w:rPr>
          <w:rFonts w:ascii="Arial" w:hAnsi="Arial" w:cs="Arial"/>
          <w:sz w:val="24"/>
          <w:szCs w:val="24"/>
        </w:rPr>
        <w:t>the general ledger</w:t>
      </w:r>
      <w:r w:rsidR="003C74BB">
        <w:rPr>
          <w:rFonts w:ascii="Arial" w:hAnsi="Arial" w:cs="Arial"/>
          <w:sz w:val="24"/>
          <w:szCs w:val="24"/>
        </w:rPr>
        <w:t xml:space="preserve"> </w:t>
      </w:r>
      <w:r w:rsidR="00D9630E">
        <w:rPr>
          <w:rFonts w:ascii="Arial" w:hAnsi="Arial" w:cs="Arial"/>
          <w:sz w:val="24"/>
          <w:szCs w:val="24"/>
        </w:rPr>
        <w:t>and VAT system has begun</w:t>
      </w:r>
      <w:r w:rsidR="003C74BB">
        <w:rPr>
          <w:rFonts w:ascii="Arial" w:hAnsi="Arial" w:cs="Arial"/>
          <w:sz w:val="24"/>
          <w:szCs w:val="24"/>
        </w:rPr>
        <w:t xml:space="preserve">; cash and banking will be reviewed once these audits are complete. Work on the accounts receivable and debt management system will start towards the </w:t>
      </w:r>
      <w:r w:rsidR="00170AC8">
        <w:rPr>
          <w:rFonts w:ascii="Arial" w:hAnsi="Arial" w:cs="Arial"/>
          <w:sz w:val="24"/>
          <w:szCs w:val="24"/>
        </w:rPr>
        <w:t xml:space="preserve">financial </w:t>
      </w:r>
      <w:r w:rsidR="003C74BB">
        <w:rPr>
          <w:rFonts w:ascii="Arial" w:hAnsi="Arial" w:cs="Arial"/>
          <w:sz w:val="24"/>
          <w:szCs w:val="24"/>
        </w:rPr>
        <w:t>year end and will continue into 2016/17.</w:t>
      </w:r>
    </w:p>
    <w:p w:rsidR="001E74A8" w:rsidRDefault="001E74A8">
      <w:pPr>
        <w:rPr>
          <w:rFonts w:ascii="Arial" w:hAnsi="Arial" w:cs="Arial"/>
          <w:b/>
          <w:sz w:val="24"/>
          <w:szCs w:val="24"/>
        </w:rPr>
      </w:pPr>
      <w:r>
        <w:rPr>
          <w:rFonts w:ascii="Arial" w:hAnsi="Arial" w:cs="Arial"/>
          <w:b/>
          <w:sz w:val="24"/>
          <w:szCs w:val="24"/>
        </w:rPr>
        <w:br w:type="page"/>
      </w:r>
    </w:p>
    <w:p w:rsidR="007F6777" w:rsidRPr="007F6777" w:rsidRDefault="007F6777" w:rsidP="007F6777">
      <w:pPr>
        <w:spacing w:line="240" w:lineRule="auto"/>
        <w:rPr>
          <w:rFonts w:ascii="Arial" w:hAnsi="Arial" w:cs="Arial"/>
          <w:b/>
          <w:sz w:val="24"/>
          <w:szCs w:val="24"/>
        </w:rPr>
      </w:pPr>
      <w:r w:rsidRPr="007F6777">
        <w:rPr>
          <w:rFonts w:ascii="Arial" w:hAnsi="Arial" w:cs="Arial"/>
          <w:b/>
          <w:sz w:val="24"/>
          <w:szCs w:val="24"/>
        </w:rPr>
        <w:lastRenderedPageBreak/>
        <w:t xml:space="preserve">Internal audit work </w:t>
      </w:r>
      <w:r w:rsidR="003B14DD">
        <w:rPr>
          <w:rFonts w:ascii="Arial" w:hAnsi="Arial" w:cs="Arial"/>
          <w:b/>
          <w:sz w:val="24"/>
          <w:szCs w:val="24"/>
        </w:rPr>
        <w:t>during</w:t>
      </w:r>
      <w:r>
        <w:rPr>
          <w:rFonts w:ascii="Arial" w:hAnsi="Arial" w:cs="Arial"/>
          <w:b/>
          <w:sz w:val="24"/>
          <w:szCs w:val="24"/>
        </w:rPr>
        <w:t xml:space="preserve"> 2016/17</w:t>
      </w:r>
    </w:p>
    <w:p w:rsidR="006E3BCA" w:rsidRDefault="006E3BCA" w:rsidP="00663EFC">
      <w:pPr>
        <w:pStyle w:val="ListParagraph"/>
        <w:numPr>
          <w:ilvl w:val="0"/>
          <w:numId w:val="5"/>
        </w:numPr>
        <w:spacing w:line="240" w:lineRule="auto"/>
        <w:ind w:left="357" w:hanging="357"/>
        <w:contextualSpacing w:val="0"/>
        <w:rPr>
          <w:rFonts w:ascii="Arial" w:hAnsi="Arial" w:cs="Arial"/>
          <w:sz w:val="24"/>
          <w:szCs w:val="24"/>
        </w:rPr>
      </w:pPr>
      <w:r>
        <w:rPr>
          <w:rFonts w:ascii="Arial" w:hAnsi="Arial" w:cs="Arial"/>
          <w:sz w:val="24"/>
          <w:szCs w:val="24"/>
        </w:rPr>
        <w:t xml:space="preserve">An internal audit plan designed to provide the evidence necessary to support an opinion </w:t>
      </w:r>
      <w:r w:rsidRPr="003B57CF">
        <w:rPr>
          <w:rFonts w:ascii="Arial" w:hAnsi="Arial" w:cs="Arial"/>
          <w:sz w:val="24"/>
          <w:szCs w:val="24"/>
        </w:rPr>
        <w:t>on governance</w:t>
      </w:r>
      <w:r>
        <w:rPr>
          <w:rFonts w:ascii="Arial" w:hAnsi="Arial" w:cs="Arial"/>
          <w:sz w:val="24"/>
          <w:szCs w:val="24"/>
        </w:rPr>
        <w:t>,</w:t>
      </w:r>
      <w:r w:rsidRPr="003B57CF">
        <w:rPr>
          <w:rFonts w:ascii="Arial" w:hAnsi="Arial" w:cs="Arial"/>
          <w:sz w:val="24"/>
          <w:szCs w:val="24"/>
        </w:rPr>
        <w:t xml:space="preserve"> risk management</w:t>
      </w:r>
      <w:r>
        <w:rPr>
          <w:rFonts w:ascii="Arial" w:hAnsi="Arial" w:cs="Arial"/>
          <w:sz w:val="24"/>
          <w:szCs w:val="24"/>
        </w:rPr>
        <w:t xml:space="preserve"> and </w:t>
      </w:r>
      <w:r w:rsidRPr="003B57CF">
        <w:rPr>
          <w:rFonts w:ascii="Arial" w:hAnsi="Arial" w:cs="Arial"/>
          <w:sz w:val="24"/>
          <w:szCs w:val="24"/>
        </w:rPr>
        <w:t>control</w:t>
      </w:r>
      <w:r>
        <w:rPr>
          <w:rFonts w:ascii="Arial" w:hAnsi="Arial" w:cs="Arial"/>
          <w:sz w:val="24"/>
          <w:szCs w:val="24"/>
        </w:rPr>
        <w:t xml:space="preserve"> will need to encompass the following:</w:t>
      </w:r>
    </w:p>
    <w:p w:rsidR="006E3BCA" w:rsidRDefault="006E3BCA" w:rsidP="00663EFC">
      <w:pPr>
        <w:pStyle w:val="ListParagraph"/>
        <w:numPr>
          <w:ilvl w:val="0"/>
          <w:numId w:val="1"/>
        </w:numPr>
        <w:spacing w:line="240" w:lineRule="auto"/>
        <w:contextualSpacing w:val="0"/>
        <w:rPr>
          <w:rFonts w:ascii="Arial" w:hAnsi="Arial" w:cs="Arial"/>
          <w:sz w:val="24"/>
          <w:szCs w:val="24"/>
        </w:rPr>
      </w:pPr>
      <w:r>
        <w:rPr>
          <w:rFonts w:ascii="Arial" w:hAnsi="Arial" w:cs="Arial"/>
          <w:sz w:val="24"/>
          <w:szCs w:val="24"/>
        </w:rPr>
        <w:t>Coverage of the key components of each part of the opinion. So it will be necessary to audit:</w:t>
      </w:r>
    </w:p>
    <w:p w:rsidR="006E3BCA" w:rsidRDefault="006E3BCA" w:rsidP="00663EFC">
      <w:pPr>
        <w:pStyle w:val="ListParagraph"/>
        <w:numPr>
          <w:ilvl w:val="1"/>
          <w:numId w:val="1"/>
        </w:numPr>
        <w:spacing w:after="120" w:line="240" w:lineRule="auto"/>
        <w:ind w:left="1434" w:hanging="357"/>
        <w:contextualSpacing w:val="0"/>
        <w:rPr>
          <w:rFonts w:ascii="Arial" w:hAnsi="Arial" w:cs="Arial"/>
          <w:sz w:val="24"/>
          <w:szCs w:val="24"/>
        </w:rPr>
      </w:pPr>
      <w:r>
        <w:rPr>
          <w:rFonts w:ascii="Arial" w:hAnsi="Arial" w:cs="Arial"/>
          <w:sz w:val="24"/>
          <w:szCs w:val="24"/>
        </w:rPr>
        <w:t>Governance;</w:t>
      </w:r>
    </w:p>
    <w:p w:rsidR="006E3BCA" w:rsidRDefault="006E3BCA" w:rsidP="00663EFC">
      <w:pPr>
        <w:pStyle w:val="ListParagraph"/>
        <w:numPr>
          <w:ilvl w:val="1"/>
          <w:numId w:val="1"/>
        </w:numPr>
        <w:spacing w:line="240" w:lineRule="auto"/>
        <w:ind w:left="1434" w:hanging="357"/>
        <w:contextualSpacing w:val="0"/>
        <w:rPr>
          <w:rFonts w:ascii="Arial" w:hAnsi="Arial" w:cs="Arial"/>
          <w:sz w:val="24"/>
          <w:szCs w:val="24"/>
        </w:rPr>
      </w:pPr>
      <w:r>
        <w:rPr>
          <w:rFonts w:ascii="Arial" w:hAnsi="Arial" w:cs="Arial"/>
          <w:sz w:val="24"/>
          <w:szCs w:val="24"/>
        </w:rPr>
        <w:t>Risk management; and</w:t>
      </w:r>
    </w:p>
    <w:p w:rsidR="006E3BCA" w:rsidRDefault="006E3BCA" w:rsidP="00663EFC">
      <w:pPr>
        <w:pStyle w:val="ListParagraph"/>
        <w:numPr>
          <w:ilvl w:val="1"/>
          <w:numId w:val="1"/>
        </w:numPr>
        <w:spacing w:line="240" w:lineRule="auto"/>
        <w:contextualSpacing w:val="0"/>
        <w:rPr>
          <w:rFonts w:ascii="Arial" w:hAnsi="Arial" w:cs="Arial"/>
          <w:sz w:val="24"/>
          <w:szCs w:val="24"/>
        </w:rPr>
      </w:pPr>
      <w:r>
        <w:rPr>
          <w:rFonts w:ascii="Arial" w:hAnsi="Arial" w:cs="Arial"/>
          <w:sz w:val="24"/>
          <w:szCs w:val="24"/>
        </w:rPr>
        <w:t>Control.</w:t>
      </w:r>
    </w:p>
    <w:p w:rsidR="006E3BCA" w:rsidRDefault="006E3BCA" w:rsidP="00663EFC">
      <w:pPr>
        <w:pStyle w:val="ListParagraph"/>
        <w:numPr>
          <w:ilvl w:val="0"/>
          <w:numId w:val="1"/>
        </w:numPr>
        <w:spacing w:line="240" w:lineRule="auto"/>
        <w:contextualSpacing w:val="0"/>
        <w:rPr>
          <w:rFonts w:ascii="Arial" w:hAnsi="Arial" w:cs="Arial"/>
          <w:sz w:val="24"/>
          <w:szCs w:val="24"/>
        </w:rPr>
      </w:pPr>
      <w:r>
        <w:rPr>
          <w:rFonts w:ascii="Arial" w:hAnsi="Arial" w:cs="Arial"/>
          <w:sz w:val="24"/>
          <w:szCs w:val="24"/>
        </w:rPr>
        <w:t>Sufficient coverage of the council's operations as a whole, so that a fair assessment may be made across the organisation.</w:t>
      </w:r>
    </w:p>
    <w:p w:rsidR="006E3BCA" w:rsidRDefault="006E3BCA" w:rsidP="00663EFC">
      <w:pPr>
        <w:pStyle w:val="ListParagraph"/>
        <w:numPr>
          <w:ilvl w:val="0"/>
          <w:numId w:val="1"/>
        </w:numPr>
        <w:spacing w:line="240" w:lineRule="auto"/>
        <w:contextualSpacing w:val="0"/>
        <w:rPr>
          <w:rFonts w:ascii="Arial" w:hAnsi="Arial" w:cs="Arial"/>
          <w:sz w:val="24"/>
          <w:szCs w:val="24"/>
        </w:rPr>
      </w:pPr>
      <w:r>
        <w:rPr>
          <w:rFonts w:ascii="Arial" w:hAnsi="Arial" w:cs="Arial"/>
          <w:sz w:val="24"/>
          <w:szCs w:val="24"/>
        </w:rPr>
        <w:t xml:space="preserve">Coverage of the controls that serve to mitigate the council's </w:t>
      </w:r>
      <w:r w:rsidR="00756B90">
        <w:rPr>
          <w:rFonts w:ascii="Arial" w:hAnsi="Arial" w:cs="Arial"/>
          <w:sz w:val="24"/>
          <w:szCs w:val="24"/>
        </w:rPr>
        <w:t xml:space="preserve">most significant </w:t>
      </w:r>
      <w:r>
        <w:rPr>
          <w:rFonts w:ascii="Arial" w:hAnsi="Arial" w:cs="Arial"/>
          <w:sz w:val="24"/>
          <w:szCs w:val="24"/>
        </w:rPr>
        <w:t>risks to an acceptable level.</w:t>
      </w:r>
    </w:p>
    <w:p w:rsidR="006E3BCA" w:rsidRDefault="006E3BCA" w:rsidP="00663EFC">
      <w:pPr>
        <w:pStyle w:val="ListParagraph"/>
        <w:numPr>
          <w:ilvl w:val="0"/>
          <w:numId w:val="1"/>
        </w:numPr>
        <w:spacing w:line="240" w:lineRule="auto"/>
        <w:contextualSpacing w:val="0"/>
        <w:rPr>
          <w:rFonts w:ascii="Arial" w:hAnsi="Arial" w:cs="Arial"/>
          <w:sz w:val="24"/>
          <w:szCs w:val="24"/>
        </w:rPr>
      </w:pPr>
      <w:r>
        <w:rPr>
          <w:rFonts w:ascii="Arial" w:hAnsi="Arial" w:cs="Arial"/>
          <w:sz w:val="24"/>
          <w:szCs w:val="24"/>
        </w:rPr>
        <w:t xml:space="preserve">Coverage of the controls that operate most broadly to mitigate the council's </w:t>
      </w:r>
      <w:r w:rsidR="00C64717">
        <w:rPr>
          <w:rFonts w:ascii="Arial" w:hAnsi="Arial" w:cs="Arial"/>
          <w:sz w:val="24"/>
          <w:szCs w:val="24"/>
        </w:rPr>
        <w:t xml:space="preserve">most </w:t>
      </w:r>
      <w:r>
        <w:rPr>
          <w:rFonts w:ascii="Arial" w:hAnsi="Arial" w:cs="Arial"/>
          <w:sz w:val="24"/>
          <w:szCs w:val="24"/>
        </w:rPr>
        <w:t>significant risks in the greatest number of individual instances.</w:t>
      </w:r>
    </w:p>
    <w:p w:rsidR="006E3BCA" w:rsidRDefault="006E3BCA" w:rsidP="00663EFC">
      <w:pPr>
        <w:pStyle w:val="ListParagraph"/>
        <w:numPr>
          <w:ilvl w:val="0"/>
          <w:numId w:val="1"/>
        </w:numPr>
        <w:spacing w:line="240" w:lineRule="auto"/>
        <w:contextualSpacing w:val="0"/>
        <w:rPr>
          <w:rFonts w:ascii="Arial" w:hAnsi="Arial" w:cs="Arial"/>
          <w:sz w:val="24"/>
          <w:szCs w:val="24"/>
        </w:rPr>
      </w:pPr>
      <w:r>
        <w:rPr>
          <w:rFonts w:ascii="Arial" w:hAnsi="Arial" w:cs="Arial"/>
          <w:sz w:val="24"/>
          <w:szCs w:val="24"/>
        </w:rPr>
        <w:t>Assessment of the actions being taken to develop improved controls in the areas of greatest unmitigated risk: those logged on the risk register.</w:t>
      </w:r>
    </w:p>
    <w:p w:rsidR="006E3BCA" w:rsidRDefault="006E3BCA" w:rsidP="00663EFC">
      <w:pPr>
        <w:pStyle w:val="ListParagraph"/>
        <w:numPr>
          <w:ilvl w:val="0"/>
          <w:numId w:val="1"/>
        </w:numPr>
        <w:spacing w:line="240" w:lineRule="auto"/>
        <w:contextualSpacing w:val="0"/>
        <w:rPr>
          <w:rFonts w:ascii="Arial" w:hAnsi="Arial" w:cs="Arial"/>
          <w:sz w:val="24"/>
          <w:szCs w:val="24"/>
        </w:rPr>
      </w:pPr>
      <w:r>
        <w:rPr>
          <w:rFonts w:ascii="Arial" w:hAnsi="Arial" w:cs="Arial"/>
          <w:sz w:val="24"/>
          <w:szCs w:val="24"/>
        </w:rPr>
        <w:t>Follow-up of the actions agreed by management to mitigate risks identified through the audit process.</w:t>
      </w:r>
    </w:p>
    <w:p w:rsidR="006E3BCA" w:rsidRDefault="006E3BCA" w:rsidP="00663EFC">
      <w:pPr>
        <w:pStyle w:val="ListParagraph"/>
        <w:numPr>
          <w:ilvl w:val="0"/>
          <w:numId w:val="5"/>
        </w:numPr>
        <w:spacing w:line="240" w:lineRule="auto"/>
        <w:contextualSpacing w:val="0"/>
        <w:rPr>
          <w:rFonts w:ascii="Arial" w:hAnsi="Arial" w:cs="Arial"/>
          <w:sz w:val="24"/>
          <w:szCs w:val="24"/>
        </w:rPr>
      </w:pPr>
      <w:r>
        <w:rPr>
          <w:rFonts w:ascii="Arial" w:hAnsi="Arial" w:cs="Arial"/>
          <w:sz w:val="24"/>
          <w:szCs w:val="24"/>
        </w:rPr>
        <w:t xml:space="preserve">The Internal Audit Service </w:t>
      </w:r>
      <w:r w:rsidR="000F53A1">
        <w:rPr>
          <w:rFonts w:ascii="Arial" w:hAnsi="Arial" w:cs="Arial"/>
          <w:sz w:val="24"/>
          <w:szCs w:val="24"/>
        </w:rPr>
        <w:t xml:space="preserve">will </w:t>
      </w:r>
      <w:r w:rsidR="00C64717">
        <w:rPr>
          <w:rFonts w:ascii="Arial" w:hAnsi="Arial" w:cs="Arial"/>
          <w:sz w:val="24"/>
          <w:szCs w:val="24"/>
        </w:rPr>
        <w:t>also</w:t>
      </w:r>
      <w:r>
        <w:rPr>
          <w:rFonts w:ascii="Arial" w:hAnsi="Arial" w:cs="Arial"/>
          <w:sz w:val="24"/>
          <w:szCs w:val="24"/>
        </w:rPr>
        <w:t xml:space="preserve"> work with managers to analyse other areas of risk recorded on the risk register and develop additional action plans to address these. Whilst such work w</w:t>
      </w:r>
      <w:r w:rsidR="000F53A1">
        <w:rPr>
          <w:rFonts w:ascii="Arial" w:hAnsi="Arial" w:cs="Arial"/>
          <w:sz w:val="24"/>
          <w:szCs w:val="24"/>
        </w:rPr>
        <w:t xml:space="preserve">ill </w:t>
      </w:r>
      <w:r>
        <w:rPr>
          <w:rFonts w:ascii="Arial" w:hAnsi="Arial" w:cs="Arial"/>
          <w:sz w:val="24"/>
          <w:szCs w:val="24"/>
        </w:rPr>
        <w:t xml:space="preserve">inform the overall opinion, it </w:t>
      </w:r>
      <w:r w:rsidR="000F53A1">
        <w:rPr>
          <w:rFonts w:ascii="Arial" w:hAnsi="Arial" w:cs="Arial"/>
          <w:sz w:val="24"/>
          <w:szCs w:val="24"/>
        </w:rPr>
        <w:t>will</w:t>
      </w:r>
      <w:r>
        <w:rPr>
          <w:rFonts w:ascii="Arial" w:hAnsi="Arial" w:cs="Arial"/>
          <w:sz w:val="24"/>
          <w:szCs w:val="24"/>
        </w:rPr>
        <w:t xml:space="preserve"> not be necessary to support the opinion, which could be formed without it.</w:t>
      </w:r>
    </w:p>
    <w:p w:rsidR="006E3BCA" w:rsidRDefault="003C74BB" w:rsidP="00663EFC">
      <w:pPr>
        <w:pStyle w:val="ListParagraph"/>
        <w:numPr>
          <w:ilvl w:val="0"/>
          <w:numId w:val="5"/>
        </w:numPr>
        <w:spacing w:line="240" w:lineRule="auto"/>
        <w:contextualSpacing w:val="0"/>
        <w:rPr>
          <w:rFonts w:ascii="Arial" w:hAnsi="Arial" w:cs="Arial"/>
          <w:sz w:val="24"/>
          <w:szCs w:val="24"/>
        </w:rPr>
      </w:pPr>
      <w:r>
        <w:rPr>
          <w:rFonts w:ascii="Arial" w:hAnsi="Arial" w:cs="Arial"/>
          <w:sz w:val="24"/>
          <w:szCs w:val="24"/>
        </w:rPr>
        <w:t>Because t</w:t>
      </w:r>
      <w:r w:rsidR="006E3BCA">
        <w:rPr>
          <w:rFonts w:ascii="Arial" w:hAnsi="Arial" w:cs="Arial"/>
          <w:sz w:val="24"/>
          <w:szCs w:val="24"/>
        </w:rPr>
        <w:t xml:space="preserve">he </w:t>
      </w:r>
      <w:r>
        <w:rPr>
          <w:rFonts w:ascii="Arial" w:hAnsi="Arial" w:cs="Arial"/>
          <w:sz w:val="24"/>
          <w:szCs w:val="24"/>
        </w:rPr>
        <w:t xml:space="preserve">overall </w:t>
      </w:r>
      <w:r w:rsidR="006E3BCA">
        <w:rPr>
          <w:rFonts w:ascii="Arial" w:hAnsi="Arial" w:cs="Arial"/>
          <w:sz w:val="24"/>
          <w:szCs w:val="24"/>
        </w:rPr>
        <w:t xml:space="preserve">opinion covers a twelve month </w:t>
      </w:r>
      <w:r>
        <w:rPr>
          <w:rFonts w:ascii="Arial" w:hAnsi="Arial" w:cs="Arial"/>
          <w:sz w:val="24"/>
          <w:szCs w:val="24"/>
        </w:rPr>
        <w:t xml:space="preserve">financial period, </w:t>
      </w:r>
      <w:r w:rsidR="006E3BCA">
        <w:rPr>
          <w:rFonts w:ascii="Arial" w:hAnsi="Arial" w:cs="Arial"/>
          <w:sz w:val="24"/>
          <w:szCs w:val="24"/>
        </w:rPr>
        <w:t>the evidence to support it must therefore relate to the controls in operation for that period. However the plan will be directed in the light of prior knowledge and earlier years' audit results, as well as follow-up work in the current year.</w:t>
      </w:r>
    </w:p>
    <w:p w:rsidR="006E3BCA" w:rsidRDefault="006E3BCA" w:rsidP="00663EFC">
      <w:pPr>
        <w:pStyle w:val="ListParagraph"/>
        <w:numPr>
          <w:ilvl w:val="0"/>
          <w:numId w:val="5"/>
        </w:numPr>
        <w:spacing w:line="240" w:lineRule="auto"/>
        <w:contextualSpacing w:val="0"/>
        <w:rPr>
          <w:rFonts w:ascii="Arial" w:hAnsi="Arial" w:cs="Arial"/>
          <w:sz w:val="24"/>
          <w:szCs w:val="24"/>
        </w:rPr>
      </w:pPr>
      <w:r>
        <w:rPr>
          <w:rFonts w:ascii="Arial" w:hAnsi="Arial" w:cs="Arial"/>
          <w:sz w:val="24"/>
          <w:szCs w:val="24"/>
        </w:rPr>
        <w:t>Where it is known that assurance will be provided to the council by another body (for exampl</w:t>
      </w:r>
      <w:r w:rsidR="003E22A2">
        <w:rPr>
          <w:rFonts w:ascii="Arial" w:hAnsi="Arial" w:cs="Arial"/>
          <w:sz w:val="24"/>
          <w:szCs w:val="24"/>
        </w:rPr>
        <w:t>e the Care Quality Commission</w:t>
      </w:r>
      <w:r w:rsidR="007730EC">
        <w:rPr>
          <w:rFonts w:ascii="Arial" w:hAnsi="Arial" w:cs="Arial"/>
          <w:sz w:val="24"/>
          <w:szCs w:val="24"/>
        </w:rPr>
        <w:t xml:space="preserve"> or</w:t>
      </w:r>
      <w:r>
        <w:rPr>
          <w:rFonts w:ascii="Arial" w:hAnsi="Arial" w:cs="Arial"/>
          <w:sz w:val="24"/>
          <w:szCs w:val="24"/>
        </w:rPr>
        <w:t xml:space="preserve"> Ofsted), the Internal Audit Service will not </w:t>
      </w:r>
      <w:r w:rsidR="00A25207">
        <w:rPr>
          <w:rFonts w:ascii="Arial" w:hAnsi="Arial" w:cs="Arial"/>
          <w:sz w:val="24"/>
          <w:szCs w:val="24"/>
        </w:rPr>
        <w:t>duplicate</w:t>
      </w:r>
      <w:r>
        <w:rPr>
          <w:rFonts w:ascii="Arial" w:hAnsi="Arial" w:cs="Arial"/>
          <w:sz w:val="24"/>
          <w:szCs w:val="24"/>
        </w:rPr>
        <w:t xml:space="preserve"> work in that area but will take it into account if it is relevant to </w:t>
      </w:r>
      <w:r w:rsidR="00F04490">
        <w:rPr>
          <w:rFonts w:ascii="Arial" w:hAnsi="Arial" w:cs="Arial"/>
          <w:sz w:val="24"/>
          <w:szCs w:val="24"/>
        </w:rPr>
        <w:t>the</w:t>
      </w:r>
      <w:r>
        <w:rPr>
          <w:rFonts w:ascii="Arial" w:hAnsi="Arial" w:cs="Arial"/>
          <w:sz w:val="24"/>
          <w:szCs w:val="24"/>
        </w:rPr>
        <w:t xml:space="preserve"> overall opinion on governance, risk management and control.</w:t>
      </w:r>
    </w:p>
    <w:p w:rsidR="002C3CF4" w:rsidRDefault="002C3CF4" w:rsidP="00663EFC">
      <w:pPr>
        <w:pStyle w:val="ListParagraph"/>
        <w:numPr>
          <w:ilvl w:val="0"/>
          <w:numId w:val="5"/>
        </w:numPr>
        <w:spacing w:line="240" w:lineRule="auto"/>
        <w:contextualSpacing w:val="0"/>
        <w:rPr>
          <w:rFonts w:ascii="Arial" w:hAnsi="Arial" w:cs="Arial"/>
          <w:sz w:val="24"/>
          <w:szCs w:val="24"/>
        </w:rPr>
      </w:pPr>
      <w:r>
        <w:rPr>
          <w:rFonts w:ascii="Arial" w:hAnsi="Arial" w:cs="Arial"/>
          <w:sz w:val="24"/>
          <w:szCs w:val="24"/>
        </w:rPr>
        <w:t xml:space="preserve">A programme of work </w:t>
      </w:r>
      <w:r w:rsidR="003A2E97">
        <w:rPr>
          <w:rFonts w:ascii="Arial" w:hAnsi="Arial" w:cs="Arial"/>
          <w:sz w:val="24"/>
          <w:szCs w:val="24"/>
        </w:rPr>
        <w:t xml:space="preserve">for 2016 and 2017 </w:t>
      </w:r>
      <w:r>
        <w:rPr>
          <w:rFonts w:ascii="Arial" w:hAnsi="Arial" w:cs="Arial"/>
          <w:sz w:val="24"/>
          <w:szCs w:val="24"/>
        </w:rPr>
        <w:t>is set out in the table at the end of this document.</w:t>
      </w:r>
    </w:p>
    <w:p w:rsidR="00892373" w:rsidRPr="00A118E4" w:rsidRDefault="003B14DD" w:rsidP="00892373">
      <w:pPr>
        <w:spacing w:line="240" w:lineRule="auto"/>
        <w:rPr>
          <w:rFonts w:ascii="Arial" w:hAnsi="Arial" w:cs="Arial"/>
          <w:b/>
          <w:sz w:val="24"/>
          <w:szCs w:val="24"/>
        </w:rPr>
      </w:pPr>
      <w:r>
        <w:rPr>
          <w:rFonts w:ascii="Arial" w:hAnsi="Arial" w:cs="Arial"/>
          <w:b/>
          <w:sz w:val="24"/>
          <w:szCs w:val="24"/>
        </w:rPr>
        <w:t xml:space="preserve">Other potential </w:t>
      </w:r>
      <w:r w:rsidR="002E3110">
        <w:rPr>
          <w:rFonts w:ascii="Arial" w:hAnsi="Arial" w:cs="Arial"/>
          <w:b/>
          <w:sz w:val="24"/>
          <w:szCs w:val="24"/>
        </w:rPr>
        <w:t xml:space="preserve">areas for </w:t>
      </w:r>
      <w:r>
        <w:rPr>
          <w:rFonts w:ascii="Arial" w:hAnsi="Arial" w:cs="Arial"/>
          <w:b/>
          <w:sz w:val="24"/>
          <w:szCs w:val="24"/>
        </w:rPr>
        <w:t>a</w:t>
      </w:r>
      <w:r w:rsidR="00892373">
        <w:rPr>
          <w:rFonts w:ascii="Arial" w:hAnsi="Arial" w:cs="Arial"/>
          <w:b/>
          <w:sz w:val="24"/>
          <w:szCs w:val="24"/>
        </w:rPr>
        <w:t xml:space="preserve">udit work during </w:t>
      </w:r>
      <w:r>
        <w:rPr>
          <w:rFonts w:ascii="Arial" w:hAnsi="Arial" w:cs="Arial"/>
          <w:b/>
          <w:sz w:val="24"/>
          <w:szCs w:val="24"/>
        </w:rPr>
        <w:t xml:space="preserve">2016, </w:t>
      </w:r>
      <w:r w:rsidR="00892373">
        <w:rPr>
          <w:rFonts w:ascii="Arial" w:hAnsi="Arial" w:cs="Arial"/>
          <w:b/>
          <w:sz w:val="24"/>
          <w:szCs w:val="24"/>
        </w:rPr>
        <w:t>2017 and beyond</w:t>
      </w:r>
    </w:p>
    <w:p w:rsidR="00892373" w:rsidRDefault="00892373" w:rsidP="00892373">
      <w:pPr>
        <w:pStyle w:val="ListParagraph"/>
        <w:numPr>
          <w:ilvl w:val="0"/>
          <w:numId w:val="5"/>
        </w:numPr>
        <w:spacing w:line="240" w:lineRule="auto"/>
        <w:contextualSpacing w:val="0"/>
        <w:rPr>
          <w:rFonts w:ascii="Arial" w:hAnsi="Arial" w:cs="Arial"/>
          <w:sz w:val="24"/>
          <w:szCs w:val="24"/>
        </w:rPr>
      </w:pPr>
      <w:r>
        <w:rPr>
          <w:rFonts w:ascii="Arial" w:hAnsi="Arial" w:cs="Arial"/>
          <w:sz w:val="24"/>
          <w:szCs w:val="24"/>
        </w:rPr>
        <w:t xml:space="preserve">As has been noted above, further work will be necessary to scope the audit work in this plan, and the resources available to the Internal Audit Service have not yet been finalised. There are also a number of areas where management is intending to make control improvements </w:t>
      </w:r>
      <w:r w:rsidR="00171CDA">
        <w:rPr>
          <w:rFonts w:ascii="Arial" w:hAnsi="Arial" w:cs="Arial"/>
          <w:sz w:val="24"/>
          <w:szCs w:val="24"/>
        </w:rPr>
        <w:t>during 2016 and 2017</w:t>
      </w:r>
      <w:r>
        <w:rPr>
          <w:rFonts w:ascii="Arial" w:hAnsi="Arial" w:cs="Arial"/>
          <w:sz w:val="24"/>
          <w:szCs w:val="24"/>
        </w:rPr>
        <w:t>, and whe</w:t>
      </w:r>
      <w:r w:rsidR="00171CDA">
        <w:rPr>
          <w:rFonts w:ascii="Arial" w:hAnsi="Arial" w:cs="Arial"/>
          <w:sz w:val="24"/>
          <w:szCs w:val="24"/>
        </w:rPr>
        <w:t xml:space="preserve">re assurance </w:t>
      </w:r>
      <w:r w:rsidR="003A2E97">
        <w:rPr>
          <w:rFonts w:ascii="Arial" w:hAnsi="Arial" w:cs="Arial"/>
          <w:sz w:val="24"/>
          <w:szCs w:val="24"/>
        </w:rPr>
        <w:t>may</w:t>
      </w:r>
      <w:r w:rsidR="00171CDA">
        <w:rPr>
          <w:rFonts w:ascii="Arial" w:hAnsi="Arial" w:cs="Arial"/>
          <w:sz w:val="24"/>
          <w:szCs w:val="24"/>
        </w:rPr>
        <w:t xml:space="preserve"> be helpful as</w:t>
      </w:r>
      <w:r>
        <w:rPr>
          <w:rFonts w:ascii="Arial" w:hAnsi="Arial" w:cs="Arial"/>
          <w:sz w:val="24"/>
          <w:szCs w:val="24"/>
        </w:rPr>
        <w:t xml:space="preserve"> these improvements are made. The plan set out below will therefore need to be flexible and may be amended during the year, but any </w:t>
      </w:r>
      <w:r w:rsidR="006E234B">
        <w:rPr>
          <w:rFonts w:ascii="Arial" w:hAnsi="Arial" w:cs="Arial"/>
          <w:sz w:val="24"/>
          <w:szCs w:val="24"/>
        </w:rPr>
        <w:t xml:space="preserve">significant </w:t>
      </w:r>
      <w:r>
        <w:rPr>
          <w:rFonts w:ascii="Arial" w:hAnsi="Arial" w:cs="Arial"/>
          <w:sz w:val="24"/>
          <w:szCs w:val="24"/>
        </w:rPr>
        <w:t>amendments will be shared with the Audit and Governance Committee for its consideration.</w:t>
      </w:r>
    </w:p>
    <w:p w:rsidR="00892373" w:rsidRDefault="00892373" w:rsidP="00892373">
      <w:pPr>
        <w:pStyle w:val="ListParagraph"/>
        <w:numPr>
          <w:ilvl w:val="0"/>
          <w:numId w:val="5"/>
        </w:numPr>
        <w:spacing w:line="240" w:lineRule="auto"/>
        <w:contextualSpacing w:val="0"/>
        <w:rPr>
          <w:rFonts w:ascii="Arial" w:hAnsi="Arial" w:cs="Arial"/>
          <w:sz w:val="24"/>
          <w:szCs w:val="24"/>
        </w:rPr>
      </w:pPr>
      <w:r>
        <w:rPr>
          <w:rFonts w:ascii="Arial" w:hAnsi="Arial" w:cs="Arial"/>
          <w:sz w:val="24"/>
          <w:szCs w:val="24"/>
        </w:rPr>
        <w:t>The following areas may be added to the plan during 2016 and 2017, or could be considered for inclusion in following years' plans, subject to both audit resources and management teams' assurance</w:t>
      </w:r>
      <w:r w:rsidR="00171CDA">
        <w:rPr>
          <w:rFonts w:ascii="Arial" w:hAnsi="Arial" w:cs="Arial"/>
          <w:sz w:val="24"/>
          <w:szCs w:val="24"/>
        </w:rPr>
        <w:t>s</w:t>
      </w:r>
      <w:r>
        <w:rPr>
          <w:rFonts w:ascii="Arial" w:hAnsi="Arial" w:cs="Arial"/>
          <w:sz w:val="24"/>
          <w:szCs w:val="24"/>
        </w:rPr>
        <w:t xml:space="preserve"> that control improvements have been made:</w:t>
      </w:r>
    </w:p>
    <w:p w:rsidR="00892373" w:rsidRDefault="00892373" w:rsidP="00892373">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Revised corporate performance monitoring following implementation of a new approach from April 2017;</w:t>
      </w:r>
    </w:p>
    <w:p w:rsidR="00892373" w:rsidRDefault="00892373" w:rsidP="00892373">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Revised quality assurance systems for both adults' and children's social care</w:t>
      </w:r>
      <w:r w:rsidRPr="00DC4DCB">
        <w:rPr>
          <w:rFonts w:ascii="Arial" w:hAnsi="Arial" w:cs="Arial"/>
          <w:sz w:val="24"/>
          <w:szCs w:val="24"/>
        </w:rPr>
        <w:t xml:space="preserve"> </w:t>
      </w:r>
      <w:r>
        <w:rPr>
          <w:rFonts w:ascii="Arial" w:hAnsi="Arial" w:cs="Arial"/>
          <w:sz w:val="24"/>
          <w:szCs w:val="24"/>
        </w:rPr>
        <w:t>case management;</w:t>
      </w:r>
    </w:p>
    <w:p w:rsidR="00892373" w:rsidRDefault="00892373" w:rsidP="00892373">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Alignment of children's and adults' social care, and the transition of care users between them;</w:t>
      </w:r>
    </w:p>
    <w:p w:rsidR="00892373" w:rsidRDefault="00892373" w:rsidP="00892373">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Compliance with revised operating policies arising from both the Care Act and in relation to children with special educational needs and disabilities;</w:t>
      </w:r>
    </w:p>
    <w:p w:rsidR="00892373" w:rsidRDefault="00892373" w:rsidP="00892373">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Initial triage and resolution of social care cases by the Customer Access Service;</w:t>
      </w:r>
    </w:p>
    <w:p w:rsidR="00892373" w:rsidRPr="00662711" w:rsidRDefault="00892373" w:rsidP="00892373">
      <w:pPr>
        <w:pStyle w:val="ListParagraph"/>
        <w:numPr>
          <w:ilvl w:val="0"/>
          <w:numId w:val="7"/>
        </w:numPr>
        <w:spacing w:line="240" w:lineRule="auto"/>
        <w:contextualSpacing w:val="0"/>
        <w:rPr>
          <w:rFonts w:ascii="Arial" w:hAnsi="Arial" w:cs="Arial"/>
          <w:sz w:val="24"/>
          <w:szCs w:val="24"/>
        </w:rPr>
      </w:pPr>
      <w:r w:rsidRPr="006339BD">
        <w:rPr>
          <w:rFonts w:ascii="Arial" w:hAnsi="Arial" w:cs="Arial"/>
          <w:sz w:val="24"/>
          <w:szCs w:val="24"/>
        </w:rPr>
        <w:t xml:space="preserve">Provision of </w:t>
      </w:r>
      <w:r>
        <w:rPr>
          <w:rFonts w:ascii="Arial" w:hAnsi="Arial" w:cs="Arial"/>
          <w:sz w:val="24"/>
          <w:szCs w:val="24"/>
        </w:rPr>
        <w:t xml:space="preserve">public health </w:t>
      </w:r>
      <w:r w:rsidRPr="006339BD">
        <w:rPr>
          <w:rFonts w:ascii="Arial" w:hAnsi="Arial" w:cs="Arial"/>
          <w:sz w:val="24"/>
          <w:szCs w:val="24"/>
        </w:rPr>
        <w:t xml:space="preserve">advice to the </w:t>
      </w:r>
      <w:r>
        <w:rPr>
          <w:rFonts w:ascii="Arial" w:hAnsi="Arial" w:cs="Arial"/>
          <w:sz w:val="24"/>
          <w:szCs w:val="24"/>
        </w:rPr>
        <w:t xml:space="preserve">county's </w:t>
      </w:r>
      <w:r w:rsidRPr="006339BD">
        <w:rPr>
          <w:rFonts w:ascii="Arial" w:hAnsi="Arial" w:cs="Arial"/>
          <w:sz w:val="24"/>
          <w:szCs w:val="24"/>
        </w:rPr>
        <w:t>clinical commissioning groups</w:t>
      </w:r>
      <w:r>
        <w:rPr>
          <w:rFonts w:ascii="Arial" w:hAnsi="Arial" w:cs="Arial"/>
          <w:sz w:val="24"/>
          <w:szCs w:val="24"/>
        </w:rPr>
        <w:t>;</w:t>
      </w:r>
    </w:p>
    <w:p w:rsidR="00892373" w:rsidRDefault="00892373" w:rsidP="00892373">
      <w:pPr>
        <w:pStyle w:val="ListParagraph"/>
        <w:numPr>
          <w:ilvl w:val="0"/>
          <w:numId w:val="7"/>
        </w:numPr>
        <w:spacing w:line="240" w:lineRule="auto"/>
        <w:contextualSpacing w:val="0"/>
        <w:rPr>
          <w:rFonts w:ascii="Arial" w:hAnsi="Arial" w:cs="Arial"/>
          <w:sz w:val="24"/>
          <w:szCs w:val="24"/>
        </w:rPr>
      </w:pPr>
      <w:r w:rsidRPr="00662711">
        <w:rPr>
          <w:rFonts w:ascii="Arial" w:hAnsi="Arial" w:cs="Arial"/>
          <w:sz w:val="24"/>
          <w:szCs w:val="24"/>
        </w:rPr>
        <w:t>The implementation and operation of t</w:t>
      </w:r>
      <w:r>
        <w:rPr>
          <w:rFonts w:ascii="Arial" w:hAnsi="Arial" w:cs="Arial"/>
          <w:sz w:val="24"/>
          <w:szCs w:val="24"/>
        </w:rPr>
        <w:t>he council's ICT new strategy;</w:t>
      </w:r>
    </w:p>
    <w:p w:rsidR="00892373" w:rsidRPr="00054457" w:rsidRDefault="00892373" w:rsidP="00892373">
      <w:pPr>
        <w:pStyle w:val="ListParagraph"/>
        <w:numPr>
          <w:ilvl w:val="0"/>
          <w:numId w:val="7"/>
        </w:numPr>
        <w:spacing w:line="240" w:lineRule="auto"/>
        <w:contextualSpacing w:val="0"/>
        <w:rPr>
          <w:rFonts w:ascii="Arial" w:hAnsi="Arial" w:cs="Arial"/>
          <w:sz w:val="24"/>
          <w:szCs w:val="24"/>
        </w:rPr>
      </w:pPr>
      <w:r w:rsidRPr="00054457">
        <w:rPr>
          <w:rFonts w:ascii="Arial" w:hAnsi="Arial" w:cs="Arial"/>
          <w:sz w:val="24"/>
          <w:szCs w:val="24"/>
        </w:rPr>
        <w:t>Processing payments to suppliers of soc</w:t>
      </w:r>
      <w:r>
        <w:rPr>
          <w:rFonts w:ascii="Arial" w:hAnsi="Arial" w:cs="Arial"/>
          <w:sz w:val="24"/>
          <w:szCs w:val="24"/>
        </w:rPr>
        <w:t xml:space="preserve">ial services through </w:t>
      </w:r>
      <w:proofErr w:type="spellStart"/>
      <w:r>
        <w:rPr>
          <w:rFonts w:ascii="Arial" w:hAnsi="Arial" w:cs="Arial"/>
          <w:sz w:val="24"/>
          <w:szCs w:val="24"/>
        </w:rPr>
        <w:t>Controcc</w:t>
      </w:r>
      <w:proofErr w:type="spellEnd"/>
      <w:r>
        <w:rPr>
          <w:rFonts w:ascii="Arial" w:hAnsi="Arial" w:cs="Arial"/>
          <w:sz w:val="24"/>
          <w:szCs w:val="24"/>
        </w:rPr>
        <w:t>, the</w:t>
      </w:r>
      <w:r w:rsidRPr="00054457">
        <w:rPr>
          <w:rFonts w:ascii="Arial" w:hAnsi="Arial" w:cs="Arial"/>
          <w:sz w:val="24"/>
          <w:szCs w:val="24"/>
        </w:rPr>
        <w:t xml:space="preserve"> finance module of </w:t>
      </w:r>
      <w:proofErr w:type="spellStart"/>
      <w:r w:rsidRPr="00054457">
        <w:rPr>
          <w:rFonts w:ascii="Arial" w:hAnsi="Arial" w:cs="Arial"/>
          <w:sz w:val="24"/>
          <w:szCs w:val="24"/>
        </w:rPr>
        <w:t>Liquidlogic's</w:t>
      </w:r>
      <w:proofErr w:type="spellEnd"/>
      <w:r w:rsidRPr="00054457">
        <w:rPr>
          <w:rFonts w:ascii="Arial" w:hAnsi="Arial" w:cs="Arial"/>
          <w:sz w:val="24"/>
          <w:szCs w:val="24"/>
        </w:rPr>
        <w:t xml:space="preserve"> social care software;</w:t>
      </w:r>
    </w:p>
    <w:p w:rsidR="00006A60" w:rsidRDefault="00006A60" w:rsidP="00892373">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 xml:space="preserve">Delivery of the capital programme by services across the </w:t>
      </w:r>
      <w:r w:rsidR="00471895">
        <w:rPr>
          <w:rFonts w:ascii="Arial" w:hAnsi="Arial" w:cs="Arial"/>
          <w:sz w:val="24"/>
          <w:szCs w:val="24"/>
        </w:rPr>
        <w:t xml:space="preserve">Programmes and Project Management, </w:t>
      </w:r>
      <w:r>
        <w:rPr>
          <w:rFonts w:ascii="Arial" w:hAnsi="Arial" w:cs="Arial"/>
          <w:sz w:val="24"/>
          <w:szCs w:val="24"/>
        </w:rPr>
        <w:t xml:space="preserve">Corporate Commissioning and Community Services teams;  </w:t>
      </w:r>
    </w:p>
    <w:p w:rsidR="00892373" w:rsidRDefault="00892373" w:rsidP="00892373">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 xml:space="preserve">Highways asset management following the implementation of software provided by </w:t>
      </w:r>
      <w:proofErr w:type="spellStart"/>
      <w:r>
        <w:rPr>
          <w:rFonts w:ascii="Arial" w:hAnsi="Arial" w:cs="Arial"/>
          <w:sz w:val="24"/>
          <w:szCs w:val="24"/>
        </w:rPr>
        <w:t>Symology</w:t>
      </w:r>
      <w:proofErr w:type="spellEnd"/>
      <w:r>
        <w:rPr>
          <w:rFonts w:ascii="Arial" w:hAnsi="Arial" w:cs="Arial"/>
          <w:sz w:val="24"/>
          <w:szCs w:val="24"/>
        </w:rPr>
        <w:t>;</w:t>
      </w:r>
    </w:p>
    <w:p w:rsidR="00892373" w:rsidRDefault="00892373" w:rsidP="00892373">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Property asset management following the implementation of software provided by Technology Forge;</w:t>
      </w:r>
    </w:p>
    <w:p w:rsidR="00892373" w:rsidRDefault="00892373" w:rsidP="00892373">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Property programme and project management supported by the implementation of Cora Project Vision software;</w:t>
      </w:r>
    </w:p>
    <w:p w:rsidR="002E3110" w:rsidRDefault="00892373" w:rsidP="00892373">
      <w:pPr>
        <w:pStyle w:val="ListParagraph"/>
        <w:numPr>
          <w:ilvl w:val="0"/>
          <w:numId w:val="7"/>
        </w:numPr>
        <w:spacing w:line="240" w:lineRule="auto"/>
        <w:contextualSpacing w:val="0"/>
        <w:rPr>
          <w:rFonts w:ascii="Arial" w:hAnsi="Arial" w:cs="Arial"/>
          <w:sz w:val="24"/>
          <w:szCs w:val="24"/>
        </w:rPr>
      </w:pPr>
      <w:r w:rsidRPr="00054457">
        <w:rPr>
          <w:rFonts w:ascii="Arial" w:hAnsi="Arial" w:cs="Arial"/>
          <w:sz w:val="24"/>
          <w:szCs w:val="24"/>
        </w:rPr>
        <w:t>The operation of Oracle</w:t>
      </w:r>
      <w:r>
        <w:rPr>
          <w:rFonts w:ascii="Arial" w:hAnsi="Arial" w:cs="Arial"/>
          <w:sz w:val="24"/>
          <w:szCs w:val="24"/>
        </w:rPr>
        <w:t xml:space="preserve"> </w:t>
      </w:r>
      <w:proofErr w:type="spellStart"/>
      <w:r>
        <w:rPr>
          <w:rFonts w:ascii="Arial" w:hAnsi="Arial" w:cs="Arial"/>
          <w:sz w:val="24"/>
          <w:szCs w:val="24"/>
        </w:rPr>
        <w:t>Financial</w:t>
      </w:r>
      <w:r w:rsidRPr="00054457">
        <w:rPr>
          <w:rFonts w:ascii="Arial" w:hAnsi="Arial" w:cs="Arial"/>
          <w:sz w:val="24"/>
          <w:szCs w:val="24"/>
        </w:rPr>
        <w:t>'s</w:t>
      </w:r>
      <w:proofErr w:type="spellEnd"/>
      <w:r w:rsidRPr="00054457">
        <w:rPr>
          <w:rFonts w:ascii="Arial" w:hAnsi="Arial" w:cs="Arial"/>
          <w:sz w:val="24"/>
          <w:szCs w:val="24"/>
        </w:rPr>
        <w:t xml:space="preserve"> project and costing modules</w:t>
      </w:r>
      <w:r w:rsidR="002E3110">
        <w:rPr>
          <w:rFonts w:ascii="Arial" w:hAnsi="Arial" w:cs="Arial"/>
          <w:sz w:val="24"/>
          <w:szCs w:val="24"/>
        </w:rPr>
        <w:t>;</w:t>
      </w:r>
    </w:p>
    <w:p w:rsidR="00892373" w:rsidRDefault="002E3110" w:rsidP="00892373">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 xml:space="preserve">The waste management </w:t>
      </w:r>
      <w:r w:rsidR="000C244F">
        <w:rPr>
          <w:rFonts w:ascii="Arial" w:hAnsi="Arial" w:cs="Arial"/>
          <w:sz w:val="24"/>
          <w:szCs w:val="24"/>
        </w:rPr>
        <w:t xml:space="preserve">company </w:t>
      </w:r>
      <w:r>
        <w:rPr>
          <w:rFonts w:ascii="Arial" w:hAnsi="Arial" w:cs="Arial"/>
          <w:sz w:val="24"/>
          <w:szCs w:val="24"/>
        </w:rPr>
        <w:t>service, following amendment to its governance arrangements and organisational structure</w:t>
      </w:r>
      <w:r w:rsidR="00892373" w:rsidRPr="00054457">
        <w:rPr>
          <w:rFonts w:ascii="Arial" w:hAnsi="Arial" w:cs="Arial"/>
          <w:sz w:val="24"/>
          <w:szCs w:val="24"/>
        </w:rPr>
        <w:t>.</w:t>
      </w:r>
    </w:p>
    <w:p w:rsidR="006E3BCA" w:rsidRPr="003875AB" w:rsidRDefault="006E3BCA" w:rsidP="00663EFC">
      <w:pPr>
        <w:spacing w:line="240" w:lineRule="auto"/>
        <w:rPr>
          <w:rFonts w:ascii="Arial" w:hAnsi="Arial" w:cs="Arial"/>
          <w:sz w:val="24"/>
          <w:szCs w:val="24"/>
        </w:rPr>
      </w:pPr>
      <w:r w:rsidRPr="003875AB">
        <w:rPr>
          <w:rFonts w:ascii="Arial" w:hAnsi="Arial" w:cs="Arial"/>
          <w:b/>
          <w:sz w:val="24"/>
          <w:szCs w:val="24"/>
        </w:rPr>
        <w:t>Key documents</w:t>
      </w:r>
    </w:p>
    <w:p w:rsidR="006E3BCA" w:rsidRPr="00685A84" w:rsidRDefault="006E3BCA" w:rsidP="00663EFC">
      <w:pPr>
        <w:spacing w:line="240" w:lineRule="auto"/>
        <w:rPr>
          <w:rFonts w:ascii="Arial" w:hAnsi="Arial" w:cs="Arial"/>
          <w:b/>
          <w:i/>
          <w:sz w:val="24"/>
          <w:szCs w:val="24"/>
        </w:rPr>
      </w:pPr>
      <w:r w:rsidRPr="00685A84">
        <w:rPr>
          <w:rFonts w:ascii="Arial" w:hAnsi="Arial" w:cs="Arial"/>
          <w:b/>
          <w:i/>
          <w:sz w:val="24"/>
          <w:szCs w:val="24"/>
        </w:rPr>
        <w:t>The council's corporate risk</w:t>
      </w:r>
      <w:r>
        <w:rPr>
          <w:rFonts w:ascii="Arial" w:hAnsi="Arial" w:cs="Arial"/>
          <w:b/>
          <w:i/>
          <w:sz w:val="24"/>
          <w:szCs w:val="24"/>
        </w:rPr>
        <w:t xml:space="preserve"> register</w:t>
      </w:r>
    </w:p>
    <w:p w:rsidR="006E3BCA" w:rsidRDefault="006E3BCA" w:rsidP="00663EFC">
      <w:pPr>
        <w:pStyle w:val="ListParagraph"/>
        <w:numPr>
          <w:ilvl w:val="0"/>
          <w:numId w:val="5"/>
        </w:numPr>
        <w:spacing w:line="240" w:lineRule="auto"/>
        <w:contextualSpacing w:val="0"/>
        <w:rPr>
          <w:rFonts w:ascii="Arial" w:hAnsi="Arial" w:cs="Arial"/>
          <w:sz w:val="24"/>
          <w:szCs w:val="24"/>
        </w:rPr>
      </w:pPr>
      <w:r>
        <w:rPr>
          <w:rFonts w:ascii="Arial" w:hAnsi="Arial" w:cs="Arial"/>
          <w:sz w:val="24"/>
          <w:szCs w:val="24"/>
        </w:rPr>
        <w:t>A</w:t>
      </w:r>
      <w:r w:rsidR="007730EC">
        <w:rPr>
          <w:rFonts w:ascii="Arial" w:hAnsi="Arial" w:cs="Arial"/>
          <w:sz w:val="24"/>
          <w:szCs w:val="24"/>
        </w:rPr>
        <w:t xml:space="preserve"> </w:t>
      </w:r>
      <w:r>
        <w:rPr>
          <w:rFonts w:ascii="Arial" w:hAnsi="Arial" w:cs="Arial"/>
          <w:sz w:val="24"/>
          <w:szCs w:val="24"/>
        </w:rPr>
        <w:t xml:space="preserve">corporate risk register </w:t>
      </w:r>
      <w:r w:rsidR="0038001D">
        <w:rPr>
          <w:rFonts w:ascii="Arial" w:hAnsi="Arial" w:cs="Arial"/>
          <w:sz w:val="24"/>
          <w:szCs w:val="24"/>
        </w:rPr>
        <w:t>has been</w:t>
      </w:r>
      <w:r>
        <w:rPr>
          <w:rFonts w:ascii="Arial" w:hAnsi="Arial" w:cs="Arial"/>
          <w:sz w:val="24"/>
          <w:szCs w:val="24"/>
        </w:rPr>
        <w:t xml:space="preserve"> drafted</w:t>
      </w:r>
      <w:r w:rsidR="007730EC">
        <w:rPr>
          <w:rFonts w:ascii="Arial" w:hAnsi="Arial" w:cs="Arial"/>
          <w:sz w:val="24"/>
          <w:szCs w:val="24"/>
        </w:rPr>
        <w:t xml:space="preserve"> but</w:t>
      </w:r>
      <w:r>
        <w:rPr>
          <w:rFonts w:ascii="Arial" w:hAnsi="Arial" w:cs="Arial"/>
          <w:sz w:val="24"/>
          <w:szCs w:val="24"/>
        </w:rPr>
        <w:t xml:space="preserve"> the process supporting it is still being developed to ensure that it is robust and sustainable, and to ensure that the register is an adequate reflection of the organisation's most significant risks </w:t>
      </w:r>
      <w:r w:rsidR="003E22A2">
        <w:rPr>
          <w:rFonts w:ascii="Arial" w:hAnsi="Arial" w:cs="Arial"/>
          <w:sz w:val="24"/>
          <w:szCs w:val="24"/>
        </w:rPr>
        <w:t xml:space="preserve">being addressed </w:t>
      </w:r>
      <w:r>
        <w:rPr>
          <w:rFonts w:ascii="Arial" w:hAnsi="Arial" w:cs="Arial"/>
          <w:sz w:val="24"/>
          <w:szCs w:val="24"/>
        </w:rPr>
        <w:t>at a given point in time. In due course this will serve as an active log of the most significant matters requiring management attention because the risks recorded are deemed not to be sufficiently mitigated and not yet under effective control.</w:t>
      </w:r>
    </w:p>
    <w:p w:rsidR="006E3BCA" w:rsidRPr="00685A84" w:rsidRDefault="006E3BCA" w:rsidP="00663EFC">
      <w:pPr>
        <w:pStyle w:val="ListParagraph"/>
        <w:numPr>
          <w:ilvl w:val="0"/>
          <w:numId w:val="5"/>
        </w:numPr>
        <w:spacing w:line="240" w:lineRule="auto"/>
        <w:contextualSpacing w:val="0"/>
        <w:rPr>
          <w:rFonts w:ascii="Arial" w:hAnsi="Arial" w:cs="Arial"/>
          <w:sz w:val="24"/>
          <w:szCs w:val="24"/>
        </w:rPr>
      </w:pPr>
      <w:r>
        <w:rPr>
          <w:rFonts w:ascii="Arial" w:hAnsi="Arial" w:cs="Arial"/>
          <w:sz w:val="24"/>
          <w:szCs w:val="24"/>
        </w:rPr>
        <w:t xml:space="preserve">It </w:t>
      </w:r>
      <w:r w:rsidR="0038001D">
        <w:rPr>
          <w:rFonts w:ascii="Arial" w:hAnsi="Arial" w:cs="Arial"/>
          <w:sz w:val="24"/>
          <w:szCs w:val="24"/>
        </w:rPr>
        <w:t xml:space="preserve">is </w:t>
      </w:r>
      <w:r>
        <w:rPr>
          <w:rFonts w:ascii="Arial" w:hAnsi="Arial" w:cs="Arial"/>
          <w:sz w:val="24"/>
          <w:szCs w:val="24"/>
        </w:rPr>
        <w:t>relevant to the audit plan in recording areas where the Internal Audit Service should assess the adequacy and effectiveness of the action</w:t>
      </w:r>
      <w:r w:rsidR="003E22A2">
        <w:rPr>
          <w:rFonts w:ascii="Arial" w:hAnsi="Arial" w:cs="Arial"/>
          <w:sz w:val="24"/>
          <w:szCs w:val="24"/>
        </w:rPr>
        <w:t>s</w:t>
      </w:r>
      <w:r>
        <w:rPr>
          <w:rFonts w:ascii="Arial" w:hAnsi="Arial" w:cs="Arial"/>
          <w:sz w:val="24"/>
          <w:szCs w:val="24"/>
        </w:rPr>
        <w:t xml:space="preserve"> proposed to mitigate the council's most significant risks, and the progress being made in </w:t>
      </w:r>
      <w:r w:rsidR="003E22A2">
        <w:rPr>
          <w:rFonts w:ascii="Arial" w:hAnsi="Arial" w:cs="Arial"/>
          <w:sz w:val="24"/>
          <w:szCs w:val="24"/>
        </w:rPr>
        <w:t xml:space="preserve">their </w:t>
      </w:r>
      <w:r>
        <w:rPr>
          <w:rFonts w:ascii="Arial" w:hAnsi="Arial" w:cs="Arial"/>
          <w:sz w:val="24"/>
          <w:szCs w:val="24"/>
        </w:rPr>
        <w:t>implementation.</w:t>
      </w:r>
    </w:p>
    <w:p w:rsidR="006E3BCA" w:rsidRPr="00BE7319" w:rsidRDefault="006E3BCA" w:rsidP="00663EFC">
      <w:pPr>
        <w:spacing w:line="240" w:lineRule="auto"/>
        <w:rPr>
          <w:rFonts w:ascii="Arial" w:hAnsi="Arial" w:cs="Arial"/>
          <w:b/>
          <w:i/>
          <w:sz w:val="24"/>
          <w:szCs w:val="24"/>
        </w:rPr>
      </w:pPr>
      <w:r w:rsidRPr="00BE7319">
        <w:rPr>
          <w:rFonts w:ascii="Arial" w:hAnsi="Arial" w:cs="Arial"/>
          <w:b/>
          <w:i/>
          <w:sz w:val="24"/>
          <w:szCs w:val="24"/>
        </w:rPr>
        <w:t xml:space="preserve">A </w:t>
      </w:r>
      <w:r w:rsidR="001C68B1">
        <w:rPr>
          <w:rFonts w:ascii="Arial" w:hAnsi="Arial" w:cs="Arial"/>
          <w:b/>
          <w:i/>
          <w:sz w:val="24"/>
          <w:szCs w:val="24"/>
        </w:rPr>
        <w:t>log</w:t>
      </w:r>
      <w:r w:rsidRPr="00BE7319">
        <w:rPr>
          <w:rFonts w:ascii="Arial" w:hAnsi="Arial" w:cs="Arial"/>
          <w:b/>
          <w:i/>
          <w:sz w:val="24"/>
          <w:szCs w:val="24"/>
        </w:rPr>
        <w:t xml:space="preserve"> </w:t>
      </w:r>
      <w:r>
        <w:rPr>
          <w:rFonts w:ascii="Arial" w:hAnsi="Arial" w:cs="Arial"/>
          <w:b/>
          <w:i/>
          <w:sz w:val="24"/>
          <w:szCs w:val="24"/>
        </w:rPr>
        <w:t xml:space="preserve">of the </w:t>
      </w:r>
      <w:r w:rsidR="00EE3FD5">
        <w:rPr>
          <w:rFonts w:ascii="Arial" w:hAnsi="Arial" w:cs="Arial"/>
          <w:b/>
          <w:i/>
          <w:sz w:val="24"/>
          <w:szCs w:val="24"/>
        </w:rPr>
        <w:t>council's mitigated risks</w:t>
      </w:r>
    </w:p>
    <w:p w:rsidR="006E3BCA" w:rsidRDefault="006E3BCA" w:rsidP="00663EFC">
      <w:pPr>
        <w:pStyle w:val="ListParagraph"/>
        <w:numPr>
          <w:ilvl w:val="0"/>
          <w:numId w:val="5"/>
        </w:numPr>
        <w:spacing w:line="240" w:lineRule="auto"/>
        <w:contextualSpacing w:val="0"/>
        <w:rPr>
          <w:rFonts w:ascii="Arial" w:hAnsi="Arial" w:cs="Arial"/>
          <w:sz w:val="24"/>
          <w:szCs w:val="24"/>
        </w:rPr>
      </w:pPr>
      <w:r>
        <w:rPr>
          <w:rFonts w:ascii="Arial" w:hAnsi="Arial" w:cs="Arial"/>
          <w:sz w:val="24"/>
          <w:szCs w:val="24"/>
        </w:rPr>
        <w:t xml:space="preserve">Where risks have been mitigated, or are believed to have been so, they </w:t>
      </w:r>
      <w:r w:rsidR="0038001D">
        <w:rPr>
          <w:rFonts w:ascii="Arial" w:hAnsi="Arial" w:cs="Arial"/>
          <w:sz w:val="24"/>
          <w:szCs w:val="24"/>
        </w:rPr>
        <w:t xml:space="preserve">may </w:t>
      </w:r>
      <w:r>
        <w:rPr>
          <w:rFonts w:ascii="Arial" w:hAnsi="Arial" w:cs="Arial"/>
          <w:sz w:val="24"/>
          <w:szCs w:val="24"/>
        </w:rPr>
        <w:t>not be recorded in the risk register and must be identified through other means, in particular through a sound understanding of the organisation and its operations. Where management understands controls to be in place over significant risks, particularly those over the greatest risks or operating in a large number of individual instances, the Internal Audit Service should provide assurance that these controls are indeed adequately designed and operating effectively.</w:t>
      </w:r>
    </w:p>
    <w:p w:rsidR="006E3BCA" w:rsidRDefault="006E3BCA" w:rsidP="00663EFC">
      <w:pPr>
        <w:pStyle w:val="ListParagraph"/>
        <w:numPr>
          <w:ilvl w:val="0"/>
          <w:numId w:val="5"/>
        </w:numPr>
        <w:spacing w:line="240" w:lineRule="auto"/>
        <w:contextualSpacing w:val="0"/>
        <w:rPr>
          <w:rFonts w:ascii="Arial" w:hAnsi="Arial" w:cs="Arial"/>
          <w:sz w:val="24"/>
          <w:szCs w:val="24"/>
        </w:rPr>
      </w:pPr>
      <w:r>
        <w:rPr>
          <w:rFonts w:ascii="Arial" w:hAnsi="Arial" w:cs="Arial"/>
          <w:sz w:val="24"/>
          <w:szCs w:val="24"/>
        </w:rPr>
        <w:t>A document</w:t>
      </w:r>
      <w:r w:rsidRPr="00685A84">
        <w:rPr>
          <w:rFonts w:ascii="Arial" w:hAnsi="Arial" w:cs="Arial"/>
          <w:sz w:val="24"/>
          <w:szCs w:val="24"/>
        </w:rPr>
        <w:t xml:space="preserve"> is being developed </w:t>
      </w:r>
      <w:r>
        <w:rPr>
          <w:rFonts w:ascii="Arial" w:hAnsi="Arial" w:cs="Arial"/>
          <w:sz w:val="24"/>
          <w:szCs w:val="24"/>
        </w:rPr>
        <w:t xml:space="preserve">within the Internal Audit Service </w:t>
      </w:r>
      <w:r w:rsidRPr="00685A84">
        <w:rPr>
          <w:rFonts w:ascii="Arial" w:hAnsi="Arial" w:cs="Arial"/>
          <w:sz w:val="24"/>
          <w:szCs w:val="24"/>
        </w:rPr>
        <w:t xml:space="preserve">that </w:t>
      </w:r>
      <w:r w:rsidR="00D64F0F">
        <w:rPr>
          <w:rFonts w:ascii="Arial" w:hAnsi="Arial" w:cs="Arial"/>
          <w:sz w:val="24"/>
          <w:szCs w:val="24"/>
        </w:rPr>
        <w:t xml:space="preserve">will seek </w:t>
      </w:r>
      <w:r w:rsidRPr="00685A84">
        <w:rPr>
          <w:rFonts w:ascii="Arial" w:hAnsi="Arial" w:cs="Arial"/>
          <w:sz w:val="24"/>
          <w:szCs w:val="24"/>
        </w:rPr>
        <w:t xml:space="preserve">to </w:t>
      </w:r>
      <w:r w:rsidR="00D64F0F">
        <w:rPr>
          <w:rFonts w:ascii="Arial" w:hAnsi="Arial" w:cs="Arial"/>
          <w:sz w:val="24"/>
          <w:szCs w:val="24"/>
        </w:rPr>
        <w:t>record</w:t>
      </w:r>
      <w:r w:rsidRPr="00685A84">
        <w:rPr>
          <w:rFonts w:ascii="Arial" w:hAnsi="Arial" w:cs="Arial"/>
          <w:sz w:val="24"/>
          <w:szCs w:val="24"/>
        </w:rPr>
        <w:t xml:space="preserve"> significant areas of governance, risk and control across the council. This will log the matters that may never be identified as problems by any management team</w:t>
      </w:r>
      <w:r>
        <w:rPr>
          <w:rFonts w:ascii="Arial" w:hAnsi="Arial" w:cs="Arial"/>
          <w:sz w:val="24"/>
          <w:szCs w:val="24"/>
        </w:rPr>
        <w:t xml:space="preserve"> because </w:t>
      </w:r>
      <w:r w:rsidRPr="00685A84">
        <w:rPr>
          <w:rFonts w:ascii="Arial" w:hAnsi="Arial" w:cs="Arial"/>
          <w:sz w:val="24"/>
          <w:szCs w:val="24"/>
        </w:rPr>
        <w:t xml:space="preserve">they </w:t>
      </w:r>
      <w:r>
        <w:rPr>
          <w:rFonts w:ascii="Arial" w:hAnsi="Arial" w:cs="Arial"/>
          <w:sz w:val="24"/>
          <w:szCs w:val="24"/>
        </w:rPr>
        <w:t xml:space="preserve">are </w:t>
      </w:r>
      <w:r w:rsidRPr="00685A84">
        <w:rPr>
          <w:rFonts w:ascii="Arial" w:hAnsi="Arial" w:cs="Arial"/>
          <w:sz w:val="24"/>
          <w:szCs w:val="24"/>
        </w:rPr>
        <w:t>deemed to be under adequate and effective control</w:t>
      </w:r>
      <w:r w:rsidR="00D64F0F">
        <w:rPr>
          <w:rFonts w:ascii="Arial" w:hAnsi="Arial" w:cs="Arial"/>
          <w:sz w:val="24"/>
          <w:szCs w:val="24"/>
        </w:rPr>
        <w:t xml:space="preserve">, and are </w:t>
      </w:r>
      <w:r>
        <w:rPr>
          <w:rFonts w:ascii="Arial" w:hAnsi="Arial" w:cs="Arial"/>
          <w:sz w:val="24"/>
          <w:szCs w:val="24"/>
        </w:rPr>
        <w:t xml:space="preserve">therefore </w:t>
      </w:r>
      <w:r w:rsidRPr="00685A84">
        <w:rPr>
          <w:rFonts w:ascii="Arial" w:hAnsi="Arial" w:cs="Arial"/>
          <w:sz w:val="24"/>
          <w:szCs w:val="24"/>
        </w:rPr>
        <w:t xml:space="preserve">unlikely </w:t>
      </w:r>
      <w:r>
        <w:rPr>
          <w:rFonts w:ascii="Arial" w:hAnsi="Arial" w:cs="Arial"/>
          <w:sz w:val="24"/>
          <w:szCs w:val="24"/>
        </w:rPr>
        <w:t>to appear in any risk register</w:t>
      </w:r>
      <w:r w:rsidR="0039479F">
        <w:rPr>
          <w:rFonts w:ascii="Arial" w:hAnsi="Arial" w:cs="Arial"/>
          <w:sz w:val="24"/>
          <w:szCs w:val="24"/>
        </w:rPr>
        <w:t>. It</w:t>
      </w:r>
      <w:r w:rsidR="00D64F0F">
        <w:rPr>
          <w:rFonts w:ascii="Arial" w:hAnsi="Arial" w:cs="Arial"/>
          <w:sz w:val="24"/>
          <w:szCs w:val="24"/>
        </w:rPr>
        <w:t xml:space="preserve"> </w:t>
      </w:r>
      <w:r>
        <w:rPr>
          <w:rFonts w:ascii="Arial" w:hAnsi="Arial" w:cs="Arial"/>
          <w:sz w:val="24"/>
          <w:szCs w:val="24"/>
        </w:rPr>
        <w:t>will therefore complement the risk register</w:t>
      </w:r>
      <w:r w:rsidR="00782395">
        <w:rPr>
          <w:rFonts w:ascii="Arial" w:hAnsi="Arial" w:cs="Arial"/>
          <w:sz w:val="24"/>
          <w:szCs w:val="24"/>
        </w:rPr>
        <w:t>s</w:t>
      </w:r>
      <w:r>
        <w:rPr>
          <w:rFonts w:ascii="Arial" w:hAnsi="Arial" w:cs="Arial"/>
          <w:sz w:val="24"/>
          <w:szCs w:val="24"/>
        </w:rPr>
        <w:t xml:space="preserve"> prepared by the council's management teams. It will though, require input from management teams to ensure that it properly captures, at least in overview, the risks and controls across the council's normal business. The Internal Audit Service will update this on an on-going basis, and at least annually as part of its audit planning process.</w:t>
      </w:r>
    </w:p>
    <w:p w:rsidR="006E3BCA" w:rsidRDefault="006E3BCA" w:rsidP="00663EFC">
      <w:pPr>
        <w:pStyle w:val="ListParagraph"/>
        <w:numPr>
          <w:ilvl w:val="0"/>
          <w:numId w:val="5"/>
        </w:numPr>
        <w:spacing w:line="240" w:lineRule="auto"/>
        <w:contextualSpacing w:val="0"/>
        <w:rPr>
          <w:rFonts w:ascii="Arial" w:hAnsi="Arial" w:cs="Arial"/>
          <w:sz w:val="24"/>
          <w:szCs w:val="24"/>
        </w:rPr>
      </w:pPr>
      <w:r w:rsidRPr="003C6CAC">
        <w:rPr>
          <w:rFonts w:ascii="Arial" w:hAnsi="Arial" w:cs="Arial"/>
          <w:sz w:val="24"/>
          <w:szCs w:val="24"/>
        </w:rPr>
        <w:t xml:space="preserve">This will never completely capture every possible </w:t>
      </w:r>
      <w:r w:rsidR="0039479F">
        <w:rPr>
          <w:rFonts w:ascii="Arial" w:hAnsi="Arial" w:cs="Arial"/>
          <w:sz w:val="24"/>
          <w:szCs w:val="24"/>
        </w:rPr>
        <w:t>risk and control</w:t>
      </w:r>
      <w:r w:rsidRPr="003C6CAC">
        <w:rPr>
          <w:rFonts w:ascii="Arial" w:hAnsi="Arial" w:cs="Arial"/>
          <w:sz w:val="24"/>
          <w:szCs w:val="24"/>
        </w:rPr>
        <w:t>, but is a</w:t>
      </w:r>
      <w:r w:rsidR="007730EC">
        <w:rPr>
          <w:rFonts w:ascii="Arial" w:hAnsi="Arial" w:cs="Arial"/>
          <w:sz w:val="24"/>
          <w:szCs w:val="24"/>
        </w:rPr>
        <w:t xml:space="preserve"> </w:t>
      </w:r>
      <w:r w:rsidRPr="003C6CAC">
        <w:rPr>
          <w:rFonts w:ascii="Arial" w:hAnsi="Arial" w:cs="Arial"/>
          <w:sz w:val="24"/>
          <w:szCs w:val="24"/>
        </w:rPr>
        <w:t>means to assess the areas that could be included in the audit plan when read alongsi</w:t>
      </w:r>
      <w:r>
        <w:rPr>
          <w:rFonts w:ascii="Arial" w:hAnsi="Arial" w:cs="Arial"/>
          <w:sz w:val="24"/>
          <w:szCs w:val="24"/>
        </w:rPr>
        <w:t>de the council's risk register.</w:t>
      </w:r>
    </w:p>
    <w:p w:rsidR="0038001D" w:rsidRPr="0038001D" w:rsidRDefault="0038001D" w:rsidP="00663EFC">
      <w:pPr>
        <w:spacing w:line="240" w:lineRule="auto"/>
        <w:rPr>
          <w:rFonts w:ascii="Arial" w:hAnsi="Arial" w:cs="Arial"/>
          <w:b/>
          <w:i/>
          <w:sz w:val="24"/>
          <w:szCs w:val="24"/>
        </w:rPr>
      </w:pPr>
      <w:r w:rsidRPr="0038001D">
        <w:rPr>
          <w:rFonts w:ascii="Arial" w:hAnsi="Arial" w:cs="Arial"/>
          <w:b/>
          <w:i/>
          <w:sz w:val="24"/>
          <w:szCs w:val="24"/>
        </w:rPr>
        <w:t>The council's annual governance statement</w:t>
      </w:r>
    </w:p>
    <w:p w:rsidR="0038001D" w:rsidRDefault="001C68B1" w:rsidP="00663EFC">
      <w:pPr>
        <w:pStyle w:val="ListParagraph"/>
        <w:numPr>
          <w:ilvl w:val="0"/>
          <w:numId w:val="5"/>
        </w:numPr>
        <w:spacing w:line="240" w:lineRule="auto"/>
        <w:contextualSpacing w:val="0"/>
        <w:rPr>
          <w:rFonts w:ascii="Arial" w:hAnsi="Arial" w:cs="Arial"/>
          <w:sz w:val="24"/>
          <w:szCs w:val="24"/>
        </w:rPr>
      </w:pPr>
      <w:r>
        <w:rPr>
          <w:rFonts w:ascii="Arial" w:hAnsi="Arial" w:cs="Arial"/>
          <w:sz w:val="24"/>
          <w:szCs w:val="24"/>
        </w:rPr>
        <w:t xml:space="preserve">In addition to setting out a definition of internal </w:t>
      </w:r>
      <w:r w:rsidRPr="00471895">
        <w:rPr>
          <w:rFonts w:ascii="Arial" w:hAnsi="Arial" w:cs="Arial"/>
          <w:sz w:val="24"/>
          <w:szCs w:val="24"/>
        </w:rPr>
        <w:t xml:space="preserve">auditing, </w:t>
      </w:r>
      <w:r w:rsidR="00471895" w:rsidRPr="00471895">
        <w:rPr>
          <w:rFonts w:ascii="Arial" w:hAnsi="Arial" w:cs="Arial"/>
          <w:sz w:val="24"/>
          <w:szCs w:val="24"/>
        </w:rPr>
        <w:t>Public Sector Internal Audit Standards</w:t>
      </w:r>
      <w:r w:rsidRPr="00471895">
        <w:rPr>
          <w:rFonts w:ascii="Arial" w:hAnsi="Arial" w:cs="Arial"/>
          <w:sz w:val="24"/>
          <w:szCs w:val="24"/>
        </w:rPr>
        <w:t xml:space="preserve"> </w:t>
      </w:r>
      <w:r w:rsidR="00756B90" w:rsidRPr="00471895">
        <w:rPr>
          <w:rFonts w:ascii="Arial" w:hAnsi="Arial" w:cs="Arial"/>
          <w:sz w:val="24"/>
          <w:szCs w:val="24"/>
        </w:rPr>
        <w:t>require the head of internal audit to "deliver</w:t>
      </w:r>
      <w:r w:rsidR="00756B90" w:rsidRPr="00756B90">
        <w:rPr>
          <w:rFonts w:ascii="Arial" w:hAnsi="Arial" w:cs="Arial"/>
          <w:sz w:val="24"/>
          <w:szCs w:val="24"/>
        </w:rPr>
        <w:t xml:space="preserve"> an annual internal audit opinion and report that can be used by the organisation to inform its governance statement</w:t>
      </w:r>
      <w:r w:rsidR="00782395">
        <w:rPr>
          <w:rFonts w:ascii="Arial" w:hAnsi="Arial" w:cs="Arial"/>
          <w:sz w:val="24"/>
          <w:szCs w:val="24"/>
        </w:rPr>
        <w:t>.</w:t>
      </w:r>
      <w:r w:rsidR="00756B90">
        <w:rPr>
          <w:rFonts w:ascii="Arial" w:hAnsi="Arial" w:cs="Arial"/>
          <w:sz w:val="24"/>
          <w:szCs w:val="24"/>
        </w:rPr>
        <w:t>"</w:t>
      </w:r>
      <w:r w:rsidR="00756B90" w:rsidRPr="00756B90">
        <w:rPr>
          <w:rFonts w:ascii="Arial" w:hAnsi="Arial" w:cs="Arial"/>
          <w:sz w:val="24"/>
          <w:szCs w:val="24"/>
        </w:rPr>
        <w:t xml:space="preserve"> </w:t>
      </w:r>
      <w:r w:rsidR="00756B90">
        <w:rPr>
          <w:rFonts w:ascii="Arial" w:hAnsi="Arial" w:cs="Arial"/>
          <w:sz w:val="24"/>
          <w:szCs w:val="24"/>
        </w:rPr>
        <w:t>Th</w:t>
      </w:r>
      <w:r w:rsidR="00A00CE4">
        <w:rPr>
          <w:rFonts w:ascii="Arial" w:hAnsi="Arial" w:cs="Arial"/>
          <w:sz w:val="24"/>
          <w:szCs w:val="24"/>
        </w:rPr>
        <w:t xml:space="preserve">e annual governance </w:t>
      </w:r>
      <w:r w:rsidR="00756B90">
        <w:rPr>
          <w:rFonts w:ascii="Arial" w:hAnsi="Arial" w:cs="Arial"/>
          <w:sz w:val="24"/>
          <w:szCs w:val="24"/>
        </w:rPr>
        <w:t>statement will al</w:t>
      </w:r>
      <w:r w:rsidR="00782395">
        <w:rPr>
          <w:rFonts w:ascii="Arial" w:hAnsi="Arial" w:cs="Arial"/>
          <w:sz w:val="24"/>
          <w:szCs w:val="24"/>
        </w:rPr>
        <w:t>so be informed by other sources</w:t>
      </w:r>
      <w:r w:rsidR="00756B90">
        <w:rPr>
          <w:rFonts w:ascii="Arial" w:hAnsi="Arial" w:cs="Arial"/>
          <w:sz w:val="24"/>
          <w:szCs w:val="24"/>
        </w:rPr>
        <w:t xml:space="preserve"> including management's own assurances</w:t>
      </w:r>
      <w:r w:rsidR="00A00CE4">
        <w:rPr>
          <w:rFonts w:ascii="Arial" w:hAnsi="Arial" w:cs="Arial"/>
          <w:sz w:val="24"/>
          <w:szCs w:val="24"/>
        </w:rPr>
        <w:t xml:space="preserve"> regarding governance, risk management and control</w:t>
      </w:r>
      <w:r w:rsidR="00756B90">
        <w:rPr>
          <w:rFonts w:ascii="Arial" w:hAnsi="Arial" w:cs="Arial"/>
          <w:sz w:val="24"/>
          <w:szCs w:val="24"/>
        </w:rPr>
        <w:t xml:space="preserve">. Where the senior management team is aware that </w:t>
      </w:r>
      <w:r w:rsidR="00A00CE4">
        <w:rPr>
          <w:rFonts w:ascii="Arial" w:hAnsi="Arial" w:cs="Arial"/>
          <w:sz w:val="24"/>
          <w:szCs w:val="24"/>
        </w:rPr>
        <w:t>controls require strengthening and is working to achieve that</w:t>
      </w:r>
      <w:r w:rsidR="00663EFC">
        <w:rPr>
          <w:rFonts w:ascii="Arial" w:hAnsi="Arial" w:cs="Arial"/>
          <w:sz w:val="24"/>
          <w:szCs w:val="24"/>
        </w:rPr>
        <w:t xml:space="preserve"> improvement</w:t>
      </w:r>
      <w:r w:rsidR="00A00CE4">
        <w:rPr>
          <w:rFonts w:ascii="Arial" w:hAnsi="Arial" w:cs="Arial"/>
          <w:sz w:val="24"/>
          <w:szCs w:val="24"/>
        </w:rPr>
        <w:t xml:space="preserve">, additional assurance from the Internal Audit Service may not be </w:t>
      </w:r>
      <w:r w:rsidR="00471895">
        <w:rPr>
          <w:rFonts w:ascii="Arial" w:hAnsi="Arial" w:cs="Arial"/>
          <w:sz w:val="24"/>
          <w:szCs w:val="24"/>
        </w:rPr>
        <w:t>helpful</w:t>
      </w:r>
      <w:r w:rsidR="00A00CE4">
        <w:rPr>
          <w:rFonts w:ascii="Arial" w:hAnsi="Arial" w:cs="Arial"/>
          <w:sz w:val="24"/>
          <w:szCs w:val="24"/>
        </w:rPr>
        <w:t xml:space="preserve">, but the annual governance statement </w:t>
      </w:r>
      <w:r w:rsidR="00663EFC">
        <w:rPr>
          <w:rFonts w:ascii="Arial" w:hAnsi="Arial" w:cs="Arial"/>
          <w:sz w:val="24"/>
          <w:szCs w:val="24"/>
        </w:rPr>
        <w:t>will</w:t>
      </w:r>
      <w:r w:rsidR="00A00CE4">
        <w:rPr>
          <w:rFonts w:ascii="Arial" w:hAnsi="Arial" w:cs="Arial"/>
          <w:sz w:val="24"/>
          <w:szCs w:val="24"/>
        </w:rPr>
        <w:t xml:space="preserve"> reflect management's own assurances</w:t>
      </w:r>
      <w:r w:rsidR="00663EFC">
        <w:rPr>
          <w:rFonts w:ascii="Arial" w:hAnsi="Arial" w:cs="Arial"/>
          <w:sz w:val="24"/>
          <w:szCs w:val="24"/>
        </w:rPr>
        <w:t>.</w:t>
      </w:r>
      <w:r>
        <w:rPr>
          <w:rFonts w:ascii="Arial" w:hAnsi="Arial" w:cs="Arial"/>
          <w:sz w:val="24"/>
          <w:szCs w:val="24"/>
        </w:rPr>
        <w:t xml:space="preserve"> It is on this basis that internal audit work for 2015/16 has been </w:t>
      </w:r>
      <w:r w:rsidR="00892373">
        <w:rPr>
          <w:rFonts w:ascii="Arial" w:hAnsi="Arial" w:cs="Arial"/>
          <w:sz w:val="24"/>
          <w:szCs w:val="24"/>
        </w:rPr>
        <w:t>restricted to the key financial systems</w:t>
      </w:r>
      <w:r>
        <w:rPr>
          <w:rFonts w:ascii="Arial" w:hAnsi="Arial" w:cs="Arial"/>
          <w:sz w:val="24"/>
          <w:szCs w:val="24"/>
        </w:rPr>
        <w:t>.</w:t>
      </w:r>
    </w:p>
    <w:p w:rsidR="001E74A8" w:rsidRDefault="001E74A8">
      <w:pPr>
        <w:rPr>
          <w:rFonts w:ascii="Arial" w:hAnsi="Arial" w:cs="Arial"/>
          <w:b/>
          <w:sz w:val="24"/>
          <w:szCs w:val="24"/>
        </w:rPr>
      </w:pPr>
      <w:r>
        <w:rPr>
          <w:rFonts w:ascii="Arial" w:hAnsi="Arial" w:cs="Arial"/>
          <w:b/>
          <w:sz w:val="24"/>
          <w:szCs w:val="24"/>
        </w:rPr>
        <w:br w:type="page"/>
      </w:r>
    </w:p>
    <w:p w:rsidR="006E3BCA" w:rsidRPr="00A80B23" w:rsidRDefault="001C308D" w:rsidP="00663EFC">
      <w:pPr>
        <w:spacing w:line="240" w:lineRule="auto"/>
        <w:rPr>
          <w:rFonts w:ascii="Arial" w:hAnsi="Arial" w:cs="Arial"/>
          <w:b/>
          <w:sz w:val="24"/>
          <w:szCs w:val="24"/>
        </w:rPr>
      </w:pPr>
      <w:r>
        <w:rPr>
          <w:rFonts w:ascii="Arial" w:hAnsi="Arial" w:cs="Arial"/>
          <w:b/>
          <w:sz w:val="24"/>
          <w:szCs w:val="24"/>
        </w:rPr>
        <w:t>The council's</w:t>
      </w:r>
      <w:r w:rsidR="006E3BCA" w:rsidRPr="00A80B23">
        <w:rPr>
          <w:rFonts w:ascii="Arial" w:hAnsi="Arial" w:cs="Arial"/>
          <w:b/>
          <w:sz w:val="24"/>
          <w:szCs w:val="24"/>
        </w:rPr>
        <w:t xml:space="preserve"> framework for governance, risk management and control</w:t>
      </w:r>
    </w:p>
    <w:p w:rsidR="006E3BCA" w:rsidRDefault="006E0DD5" w:rsidP="00663EFC">
      <w:pPr>
        <w:pStyle w:val="ListParagraph"/>
        <w:numPr>
          <w:ilvl w:val="0"/>
          <w:numId w:val="5"/>
        </w:numPr>
        <w:spacing w:line="240" w:lineRule="auto"/>
        <w:contextualSpacing w:val="0"/>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55680" behindDoc="0" locked="0" layoutInCell="1" allowOverlap="1" wp14:anchorId="16C8ADE9" wp14:editId="2BC478B2">
                <wp:simplePos x="0" y="0"/>
                <wp:positionH relativeFrom="column">
                  <wp:posOffset>-70168</wp:posOffset>
                </wp:positionH>
                <wp:positionV relativeFrom="paragraph">
                  <wp:posOffset>596900</wp:posOffset>
                </wp:positionV>
                <wp:extent cx="5919470" cy="3293035"/>
                <wp:effectExtent l="0" t="0" r="24130" b="22225"/>
                <wp:wrapNone/>
                <wp:docPr id="1" name="Rounded Rectangle 1"/>
                <wp:cNvGraphicFramePr/>
                <a:graphic xmlns:a="http://schemas.openxmlformats.org/drawingml/2006/main">
                  <a:graphicData uri="http://schemas.microsoft.com/office/word/2010/wordprocessingShape">
                    <wps:wsp>
                      <wps:cNvSpPr/>
                      <wps:spPr>
                        <a:xfrm>
                          <a:off x="0" y="0"/>
                          <a:ext cx="5919470" cy="329303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36870" id="Rounded Rectangle 1" o:spid="_x0000_s1026" style="position:absolute;margin-left:-5.55pt;margin-top:47pt;width:466.1pt;height:25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" filled="f" strokecolor="black [3213]" strokeweight="1.25pt">
                <v:stroke joinstyle="miter"/>
              </v:roundrect>
            </w:pict>
          </mc:Fallback>
        </mc:AlternateContent>
      </w:r>
      <w:r w:rsidR="006E3BCA">
        <w:rPr>
          <w:rFonts w:ascii="Arial" w:hAnsi="Arial" w:cs="Arial"/>
          <w:sz w:val="24"/>
          <w:szCs w:val="24"/>
        </w:rPr>
        <w:t xml:space="preserve">In light of the council's revised organisational structure and </w:t>
      </w:r>
      <w:r w:rsidR="006E3BCA" w:rsidRPr="00AE1C4F">
        <w:rPr>
          <w:rFonts w:ascii="Arial" w:hAnsi="Arial" w:cs="Arial"/>
          <w:sz w:val="24"/>
          <w:szCs w:val="24"/>
        </w:rPr>
        <w:t>new corporate strategy</w:t>
      </w:r>
      <w:r w:rsidR="006E3BCA">
        <w:rPr>
          <w:rFonts w:ascii="Arial" w:hAnsi="Arial" w:cs="Arial"/>
          <w:sz w:val="24"/>
          <w:szCs w:val="24"/>
        </w:rPr>
        <w:t xml:space="preserve">, it is appropriate to reconsider the framework within which this work is set. A </w:t>
      </w:r>
      <w:r w:rsidR="001C68B1">
        <w:rPr>
          <w:rFonts w:ascii="Arial" w:hAnsi="Arial" w:cs="Arial"/>
          <w:sz w:val="24"/>
          <w:szCs w:val="24"/>
        </w:rPr>
        <w:t xml:space="preserve">provisional </w:t>
      </w:r>
      <w:r w:rsidR="006E3BCA">
        <w:rPr>
          <w:rFonts w:ascii="Arial" w:hAnsi="Arial" w:cs="Arial"/>
          <w:sz w:val="24"/>
          <w:szCs w:val="24"/>
        </w:rPr>
        <w:t xml:space="preserve">framework is </w:t>
      </w:r>
      <w:r w:rsidR="001C68B1">
        <w:rPr>
          <w:rFonts w:ascii="Arial" w:hAnsi="Arial" w:cs="Arial"/>
          <w:sz w:val="24"/>
          <w:szCs w:val="24"/>
        </w:rPr>
        <w:t xml:space="preserve">proposed </w:t>
      </w:r>
      <w:r w:rsidR="006E3BCA">
        <w:rPr>
          <w:rFonts w:ascii="Arial" w:hAnsi="Arial" w:cs="Arial"/>
          <w:sz w:val="24"/>
          <w:szCs w:val="24"/>
        </w:rPr>
        <w:t>below:</w:t>
      </w:r>
    </w:p>
    <w:tbl>
      <w:tblPr>
        <w:tblStyle w:val="TableGrid"/>
        <w:tblW w:w="9322" w:type="dxa"/>
        <w:tblLook w:val="04A0" w:firstRow="1" w:lastRow="0" w:firstColumn="1" w:lastColumn="0" w:noHBand="0" w:noVBand="1"/>
      </w:tblPr>
      <w:tblGrid>
        <w:gridCol w:w="1242"/>
        <w:gridCol w:w="426"/>
        <w:gridCol w:w="6237"/>
        <w:gridCol w:w="283"/>
        <w:gridCol w:w="1134"/>
      </w:tblGrid>
      <w:tr w:rsidR="006E3BCA" w:rsidRPr="00AD1673" w:rsidTr="00395673">
        <w:tc>
          <w:tcPr>
            <w:tcW w:w="9322" w:type="dxa"/>
            <w:gridSpan w:val="5"/>
            <w:tcBorders>
              <w:top w:val="nil"/>
              <w:left w:val="nil"/>
              <w:bottom w:val="nil"/>
              <w:right w:val="nil"/>
            </w:tcBorders>
          </w:tcPr>
          <w:p w:rsidR="006E3BCA" w:rsidRPr="00A47E3E" w:rsidRDefault="006E3BCA" w:rsidP="006E0DD5">
            <w:pPr>
              <w:spacing w:before="240" w:after="40"/>
              <w:jc w:val="center"/>
              <w:rPr>
                <w:rFonts w:ascii="Arial" w:hAnsi="Arial" w:cs="Arial"/>
                <w:b/>
                <w:sz w:val="24"/>
                <w:szCs w:val="24"/>
              </w:rPr>
            </w:pPr>
            <w:r w:rsidRPr="00A47E3E">
              <w:rPr>
                <w:rFonts w:ascii="Arial" w:hAnsi="Arial" w:cs="Arial"/>
                <w:b/>
                <w:sz w:val="24"/>
                <w:szCs w:val="24"/>
              </w:rPr>
              <w:t>A framework for governance, risk management and control</w:t>
            </w:r>
          </w:p>
        </w:tc>
      </w:tr>
      <w:tr w:rsidR="006E3BCA" w:rsidTr="00395673">
        <w:tc>
          <w:tcPr>
            <w:tcW w:w="9322" w:type="dxa"/>
            <w:gridSpan w:val="5"/>
            <w:tcBorders>
              <w:top w:val="nil"/>
              <w:left w:val="nil"/>
              <w:bottom w:val="nil"/>
              <w:right w:val="nil"/>
            </w:tcBorders>
          </w:tcPr>
          <w:p w:rsidR="006E3BCA" w:rsidRDefault="006E0DD5" w:rsidP="00395673">
            <w:pPr>
              <w:spacing w:before="60" w:after="40"/>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745C7828" wp14:editId="1A7A97EF">
                      <wp:simplePos x="0" y="0"/>
                      <wp:positionH relativeFrom="column">
                        <wp:posOffset>-41835</wp:posOffset>
                      </wp:positionH>
                      <wp:positionV relativeFrom="paragraph">
                        <wp:posOffset>5416</wp:posOffset>
                      </wp:positionV>
                      <wp:extent cx="5862917"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58629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23ADE3" id="Straight Connector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458.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" strokecolor="black [3213]" strokeweight=".5pt">
                      <v:stroke joinstyle="miter"/>
                    </v:line>
                  </w:pict>
                </mc:Fallback>
              </mc:AlternateContent>
            </w:r>
            <w:r w:rsidR="006E3BCA">
              <w:rPr>
                <w:rFonts w:ascii="Arial" w:hAnsi="Arial" w:cs="Arial"/>
                <w:sz w:val="24"/>
                <w:szCs w:val="24"/>
              </w:rPr>
              <w:t>Governance and democratic oversight</w:t>
            </w:r>
          </w:p>
        </w:tc>
      </w:tr>
      <w:tr w:rsidR="006E3BCA" w:rsidRPr="009B24FB" w:rsidTr="00B7324F">
        <w:tc>
          <w:tcPr>
            <w:tcW w:w="9322" w:type="dxa"/>
            <w:gridSpan w:val="5"/>
            <w:tcBorders>
              <w:top w:val="nil"/>
              <w:left w:val="nil"/>
              <w:bottom w:val="single" w:sz="4" w:space="0" w:color="auto"/>
              <w:right w:val="nil"/>
            </w:tcBorders>
          </w:tcPr>
          <w:p w:rsidR="006E3BCA" w:rsidRPr="009B24FB" w:rsidRDefault="006E3BCA" w:rsidP="00B649E4">
            <w:pPr>
              <w:spacing w:before="40" w:after="40"/>
              <w:jc w:val="center"/>
              <w:rPr>
                <w:rFonts w:ascii="Arial" w:hAnsi="Arial" w:cs="Arial"/>
                <w:sz w:val="20"/>
                <w:szCs w:val="20"/>
              </w:rPr>
            </w:pPr>
            <w:r>
              <w:rPr>
                <w:rFonts w:ascii="Arial" w:hAnsi="Arial" w:cs="Arial"/>
                <w:sz w:val="20"/>
                <w:szCs w:val="20"/>
              </w:rPr>
              <w:t>corporate governance framework,</w:t>
            </w:r>
            <w:r w:rsidRPr="009B24FB">
              <w:rPr>
                <w:rFonts w:ascii="Arial" w:hAnsi="Arial" w:cs="Arial"/>
                <w:sz w:val="20"/>
                <w:szCs w:val="20"/>
              </w:rPr>
              <w:t xml:space="preserve"> </w:t>
            </w:r>
            <w:r>
              <w:rPr>
                <w:rFonts w:ascii="Arial" w:hAnsi="Arial" w:cs="Arial"/>
                <w:sz w:val="20"/>
                <w:szCs w:val="20"/>
              </w:rPr>
              <w:t>democratic processes</w:t>
            </w:r>
          </w:p>
        </w:tc>
      </w:tr>
      <w:tr w:rsidR="006E3BCA" w:rsidTr="00B7324F">
        <w:tc>
          <w:tcPr>
            <w:tcW w:w="9322" w:type="dxa"/>
            <w:gridSpan w:val="5"/>
            <w:tcBorders>
              <w:left w:val="nil"/>
              <w:bottom w:val="nil"/>
              <w:right w:val="nil"/>
            </w:tcBorders>
          </w:tcPr>
          <w:p w:rsidR="006E3BCA" w:rsidRDefault="006E3BCA" w:rsidP="00395673">
            <w:pPr>
              <w:spacing w:before="60" w:after="40"/>
              <w:jc w:val="center"/>
              <w:rPr>
                <w:rFonts w:ascii="Arial" w:hAnsi="Arial" w:cs="Arial"/>
                <w:sz w:val="24"/>
                <w:szCs w:val="24"/>
              </w:rPr>
            </w:pPr>
            <w:r>
              <w:rPr>
                <w:rFonts w:ascii="Arial" w:hAnsi="Arial" w:cs="Arial"/>
                <w:sz w:val="24"/>
                <w:szCs w:val="24"/>
              </w:rPr>
              <w:t>Business effectiveness</w:t>
            </w:r>
          </w:p>
        </w:tc>
      </w:tr>
      <w:tr w:rsidR="006E3BCA" w:rsidTr="00B7324F">
        <w:tc>
          <w:tcPr>
            <w:tcW w:w="9322" w:type="dxa"/>
            <w:gridSpan w:val="5"/>
            <w:tcBorders>
              <w:top w:val="nil"/>
              <w:left w:val="nil"/>
              <w:bottom w:val="single" w:sz="4" w:space="0" w:color="auto"/>
              <w:right w:val="nil"/>
            </w:tcBorders>
          </w:tcPr>
          <w:p w:rsidR="001C68B1" w:rsidRDefault="006E3BCA" w:rsidP="00B649E4">
            <w:pPr>
              <w:spacing w:before="40" w:after="40"/>
              <w:jc w:val="center"/>
              <w:rPr>
                <w:rFonts w:ascii="Arial" w:hAnsi="Arial" w:cs="Arial"/>
                <w:sz w:val="20"/>
                <w:szCs w:val="20"/>
              </w:rPr>
            </w:pPr>
            <w:r w:rsidRPr="009B24FB">
              <w:rPr>
                <w:rFonts w:ascii="Arial" w:hAnsi="Arial" w:cs="Arial"/>
                <w:sz w:val="20"/>
                <w:szCs w:val="20"/>
              </w:rPr>
              <w:t>risk management</w:t>
            </w:r>
            <w:r>
              <w:rPr>
                <w:rFonts w:ascii="Arial" w:hAnsi="Arial" w:cs="Arial"/>
                <w:sz w:val="20"/>
                <w:szCs w:val="20"/>
              </w:rPr>
              <w:t xml:space="preserve">, performance monitoring, </w:t>
            </w:r>
            <w:r w:rsidR="001C68B1">
              <w:rPr>
                <w:rFonts w:ascii="Arial" w:hAnsi="Arial" w:cs="Arial"/>
                <w:sz w:val="20"/>
                <w:szCs w:val="20"/>
              </w:rPr>
              <w:t>organisational design</w:t>
            </w:r>
          </w:p>
          <w:p w:rsidR="006E3BCA" w:rsidRPr="00FD2471" w:rsidRDefault="006E3BCA" w:rsidP="00B649E4">
            <w:pPr>
              <w:spacing w:before="40" w:after="40"/>
              <w:jc w:val="center"/>
              <w:rPr>
                <w:rFonts w:ascii="Arial" w:hAnsi="Arial" w:cs="Arial"/>
                <w:sz w:val="20"/>
                <w:szCs w:val="20"/>
              </w:rPr>
            </w:pPr>
            <w:r>
              <w:rPr>
                <w:rFonts w:ascii="Arial" w:hAnsi="Arial" w:cs="Arial"/>
                <w:sz w:val="20"/>
                <w:szCs w:val="20"/>
              </w:rPr>
              <w:t>working with other organisations</w:t>
            </w:r>
          </w:p>
        </w:tc>
      </w:tr>
      <w:tr w:rsidR="006E3BCA" w:rsidTr="00B7324F">
        <w:tc>
          <w:tcPr>
            <w:tcW w:w="9322" w:type="dxa"/>
            <w:gridSpan w:val="5"/>
            <w:tcBorders>
              <w:left w:val="nil"/>
              <w:bottom w:val="nil"/>
              <w:right w:val="nil"/>
            </w:tcBorders>
          </w:tcPr>
          <w:p w:rsidR="006E3BCA" w:rsidRDefault="006E3BCA" w:rsidP="00395673">
            <w:pPr>
              <w:spacing w:before="60" w:after="40"/>
              <w:jc w:val="center"/>
              <w:rPr>
                <w:rFonts w:ascii="Arial" w:hAnsi="Arial" w:cs="Arial"/>
                <w:sz w:val="24"/>
                <w:szCs w:val="24"/>
              </w:rPr>
            </w:pPr>
            <w:r>
              <w:rPr>
                <w:rFonts w:ascii="Arial" w:hAnsi="Arial" w:cs="Arial"/>
                <w:sz w:val="24"/>
                <w:szCs w:val="24"/>
              </w:rPr>
              <w:t>Service delivery</w:t>
            </w:r>
          </w:p>
        </w:tc>
      </w:tr>
      <w:tr w:rsidR="006E3BCA" w:rsidRPr="00BB3250" w:rsidTr="00313B2A">
        <w:tc>
          <w:tcPr>
            <w:tcW w:w="1242" w:type="dxa"/>
            <w:tcBorders>
              <w:top w:val="nil"/>
              <w:left w:val="nil"/>
              <w:bottom w:val="single" w:sz="4" w:space="0" w:color="auto"/>
              <w:right w:val="nil"/>
            </w:tcBorders>
          </w:tcPr>
          <w:p w:rsidR="006E3BCA" w:rsidRPr="00BB3250" w:rsidRDefault="006E3BCA" w:rsidP="00B649E4">
            <w:pPr>
              <w:spacing w:before="40" w:after="40"/>
              <w:jc w:val="center"/>
              <w:rPr>
                <w:rFonts w:ascii="Arial" w:hAnsi="Arial" w:cs="Arial"/>
                <w:sz w:val="20"/>
                <w:szCs w:val="20"/>
              </w:rPr>
            </w:pPr>
          </w:p>
        </w:tc>
        <w:tc>
          <w:tcPr>
            <w:tcW w:w="6946" w:type="dxa"/>
            <w:gridSpan w:val="3"/>
            <w:tcBorders>
              <w:top w:val="nil"/>
              <w:left w:val="nil"/>
              <w:bottom w:val="single" w:sz="4" w:space="0" w:color="auto"/>
              <w:right w:val="nil"/>
            </w:tcBorders>
          </w:tcPr>
          <w:p w:rsidR="00F571CA" w:rsidRDefault="006E3BCA" w:rsidP="00F571CA">
            <w:pPr>
              <w:spacing w:before="40" w:after="40"/>
              <w:jc w:val="center"/>
              <w:rPr>
                <w:rFonts w:ascii="Arial" w:hAnsi="Arial" w:cs="Arial"/>
                <w:sz w:val="20"/>
                <w:szCs w:val="20"/>
              </w:rPr>
            </w:pPr>
            <w:r>
              <w:rPr>
                <w:rFonts w:ascii="Arial" w:hAnsi="Arial" w:cs="Arial"/>
                <w:sz w:val="20"/>
                <w:szCs w:val="20"/>
              </w:rPr>
              <w:t>c</w:t>
            </w:r>
            <w:r w:rsidRPr="00BB3250">
              <w:rPr>
                <w:rFonts w:ascii="Arial" w:hAnsi="Arial" w:cs="Arial"/>
                <w:sz w:val="20"/>
                <w:szCs w:val="20"/>
              </w:rPr>
              <w:t>hildren's</w:t>
            </w:r>
            <w:r>
              <w:rPr>
                <w:rFonts w:ascii="Arial" w:hAnsi="Arial" w:cs="Arial"/>
                <w:sz w:val="20"/>
                <w:szCs w:val="20"/>
              </w:rPr>
              <w:t>, adult's, community, public health &amp; wellbeing</w:t>
            </w:r>
            <w:r w:rsidRPr="00BB3250">
              <w:rPr>
                <w:rFonts w:ascii="Arial" w:hAnsi="Arial" w:cs="Arial"/>
                <w:sz w:val="20"/>
                <w:szCs w:val="20"/>
              </w:rPr>
              <w:t xml:space="preserve"> services</w:t>
            </w:r>
            <w:r>
              <w:rPr>
                <w:rFonts w:ascii="Arial" w:hAnsi="Arial" w:cs="Arial"/>
                <w:sz w:val="20"/>
                <w:szCs w:val="20"/>
              </w:rPr>
              <w:t xml:space="preserve">, </w:t>
            </w:r>
          </w:p>
          <w:p w:rsidR="006E3BCA" w:rsidRPr="00BB3250" w:rsidRDefault="00313B2A" w:rsidP="001C68B1">
            <w:pPr>
              <w:spacing w:before="40" w:after="40"/>
              <w:jc w:val="center"/>
              <w:rPr>
                <w:rFonts w:ascii="Arial" w:hAnsi="Arial" w:cs="Arial"/>
                <w:sz w:val="20"/>
                <w:szCs w:val="20"/>
              </w:rPr>
            </w:pPr>
            <w:r>
              <w:rPr>
                <w:rFonts w:ascii="Arial" w:hAnsi="Arial" w:cs="Arial"/>
                <w:sz w:val="20"/>
                <w:szCs w:val="20"/>
              </w:rPr>
              <w:t>corporate commissioning,</w:t>
            </w:r>
            <w:r w:rsidRPr="00BB3250">
              <w:rPr>
                <w:rFonts w:ascii="Arial" w:hAnsi="Arial" w:cs="Arial"/>
                <w:sz w:val="20"/>
                <w:szCs w:val="20"/>
              </w:rPr>
              <w:t xml:space="preserve"> </w:t>
            </w:r>
            <w:r w:rsidR="006E3BCA">
              <w:rPr>
                <w:rFonts w:ascii="Arial" w:hAnsi="Arial" w:cs="Arial"/>
                <w:sz w:val="20"/>
                <w:szCs w:val="20"/>
              </w:rPr>
              <w:t>economic d</w:t>
            </w:r>
            <w:r w:rsidR="001C68B1">
              <w:rPr>
                <w:rFonts w:ascii="Arial" w:hAnsi="Arial" w:cs="Arial"/>
                <w:sz w:val="20"/>
                <w:szCs w:val="20"/>
              </w:rPr>
              <w:t>evelopment, emergency planning</w:t>
            </w:r>
          </w:p>
        </w:tc>
        <w:tc>
          <w:tcPr>
            <w:tcW w:w="1134" w:type="dxa"/>
            <w:tcBorders>
              <w:top w:val="nil"/>
              <w:left w:val="nil"/>
              <w:bottom w:val="single" w:sz="4" w:space="0" w:color="auto"/>
              <w:right w:val="nil"/>
            </w:tcBorders>
          </w:tcPr>
          <w:p w:rsidR="006E3BCA" w:rsidRPr="00BB3250" w:rsidRDefault="006E3BCA" w:rsidP="00B649E4">
            <w:pPr>
              <w:spacing w:before="40" w:after="40"/>
              <w:jc w:val="center"/>
              <w:rPr>
                <w:rFonts w:ascii="Arial" w:hAnsi="Arial" w:cs="Arial"/>
                <w:sz w:val="20"/>
                <w:szCs w:val="20"/>
              </w:rPr>
            </w:pPr>
          </w:p>
        </w:tc>
      </w:tr>
      <w:tr w:rsidR="006E3BCA" w:rsidTr="00B7324F">
        <w:tc>
          <w:tcPr>
            <w:tcW w:w="9322" w:type="dxa"/>
            <w:gridSpan w:val="5"/>
            <w:tcBorders>
              <w:left w:val="nil"/>
              <w:bottom w:val="nil"/>
              <w:right w:val="nil"/>
            </w:tcBorders>
          </w:tcPr>
          <w:p w:rsidR="006E3BCA" w:rsidRDefault="006E3BCA" w:rsidP="00395673">
            <w:pPr>
              <w:spacing w:before="60" w:after="40"/>
              <w:jc w:val="center"/>
              <w:rPr>
                <w:rFonts w:ascii="Arial" w:hAnsi="Arial" w:cs="Arial"/>
                <w:sz w:val="24"/>
                <w:szCs w:val="24"/>
              </w:rPr>
            </w:pPr>
            <w:r>
              <w:rPr>
                <w:rFonts w:ascii="Arial" w:hAnsi="Arial" w:cs="Arial"/>
                <w:sz w:val="24"/>
                <w:szCs w:val="24"/>
              </w:rPr>
              <w:t>Service support</w:t>
            </w:r>
          </w:p>
        </w:tc>
      </w:tr>
      <w:tr w:rsidR="00313B2A" w:rsidRPr="00BB3250" w:rsidTr="00313B2A">
        <w:trPr>
          <w:gridBefore w:val="2"/>
          <w:wBefore w:w="1668" w:type="dxa"/>
        </w:trPr>
        <w:tc>
          <w:tcPr>
            <w:tcW w:w="6237" w:type="dxa"/>
            <w:tcBorders>
              <w:top w:val="nil"/>
              <w:left w:val="nil"/>
              <w:bottom w:val="single" w:sz="4" w:space="0" w:color="auto"/>
              <w:right w:val="nil"/>
            </w:tcBorders>
          </w:tcPr>
          <w:p w:rsidR="00313B2A" w:rsidRPr="00BB3250" w:rsidRDefault="00313B2A" w:rsidP="00F571CA">
            <w:pPr>
              <w:spacing w:before="40" w:after="40"/>
              <w:jc w:val="center"/>
              <w:rPr>
                <w:rFonts w:ascii="Arial" w:hAnsi="Arial" w:cs="Arial"/>
                <w:sz w:val="20"/>
                <w:szCs w:val="20"/>
              </w:rPr>
            </w:pPr>
            <w:r>
              <w:rPr>
                <w:rFonts w:ascii="Arial" w:hAnsi="Arial" w:cs="Arial"/>
                <w:sz w:val="20"/>
                <w:szCs w:val="20"/>
              </w:rPr>
              <w:t>p</w:t>
            </w:r>
            <w:r w:rsidRPr="00BB3250">
              <w:rPr>
                <w:rFonts w:ascii="Arial" w:hAnsi="Arial" w:cs="Arial"/>
                <w:sz w:val="20"/>
                <w:szCs w:val="20"/>
              </w:rPr>
              <w:t xml:space="preserve">rogrammes </w:t>
            </w:r>
            <w:r>
              <w:rPr>
                <w:rFonts w:ascii="Arial" w:hAnsi="Arial" w:cs="Arial"/>
                <w:sz w:val="20"/>
                <w:szCs w:val="20"/>
              </w:rPr>
              <w:t xml:space="preserve">&amp; </w:t>
            </w:r>
            <w:r w:rsidRPr="00BB3250">
              <w:rPr>
                <w:rFonts w:ascii="Arial" w:hAnsi="Arial" w:cs="Arial"/>
                <w:sz w:val="20"/>
                <w:szCs w:val="20"/>
              </w:rPr>
              <w:t xml:space="preserve">project management, </w:t>
            </w:r>
            <w:r>
              <w:rPr>
                <w:rFonts w:ascii="Arial" w:hAnsi="Arial" w:cs="Arial"/>
                <w:sz w:val="20"/>
                <w:szCs w:val="20"/>
              </w:rPr>
              <w:t>d</w:t>
            </w:r>
            <w:r w:rsidRPr="00BB3250">
              <w:rPr>
                <w:rFonts w:ascii="Arial" w:hAnsi="Arial" w:cs="Arial"/>
                <w:sz w:val="20"/>
                <w:szCs w:val="20"/>
              </w:rPr>
              <w:t xml:space="preserve">esign </w:t>
            </w:r>
            <w:r>
              <w:rPr>
                <w:rFonts w:ascii="Arial" w:hAnsi="Arial" w:cs="Arial"/>
                <w:sz w:val="20"/>
                <w:szCs w:val="20"/>
              </w:rPr>
              <w:t xml:space="preserve">&amp; </w:t>
            </w:r>
            <w:r w:rsidRPr="00BB3250">
              <w:rPr>
                <w:rFonts w:ascii="Arial" w:hAnsi="Arial" w:cs="Arial"/>
                <w:sz w:val="20"/>
                <w:szCs w:val="20"/>
              </w:rPr>
              <w:t>construction, communications, business systems, customer access</w:t>
            </w:r>
          </w:p>
        </w:tc>
        <w:tc>
          <w:tcPr>
            <w:tcW w:w="1417" w:type="dxa"/>
            <w:gridSpan w:val="2"/>
            <w:tcBorders>
              <w:top w:val="nil"/>
              <w:left w:val="nil"/>
              <w:bottom w:val="single" w:sz="4" w:space="0" w:color="auto"/>
              <w:right w:val="nil"/>
            </w:tcBorders>
          </w:tcPr>
          <w:p w:rsidR="00313B2A" w:rsidRPr="00BB3250" w:rsidRDefault="00313B2A" w:rsidP="00F571CA">
            <w:pPr>
              <w:spacing w:before="40" w:after="40"/>
              <w:jc w:val="center"/>
              <w:rPr>
                <w:rFonts w:ascii="Arial" w:hAnsi="Arial" w:cs="Arial"/>
                <w:sz w:val="20"/>
                <w:szCs w:val="20"/>
              </w:rPr>
            </w:pPr>
          </w:p>
        </w:tc>
      </w:tr>
      <w:tr w:rsidR="006E3BCA" w:rsidTr="00B7324F">
        <w:tc>
          <w:tcPr>
            <w:tcW w:w="9322" w:type="dxa"/>
            <w:gridSpan w:val="5"/>
            <w:tcBorders>
              <w:left w:val="nil"/>
              <w:bottom w:val="nil"/>
              <w:right w:val="nil"/>
            </w:tcBorders>
          </w:tcPr>
          <w:p w:rsidR="006E3BCA" w:rsidRDefault="006E3BCA" w:rsidP="00395673">
            <w:pPr>
              <w:spacing w:before="60" w:after="40"/>
              <w:jc w:val="center"/>
              <w:rPr>
                <w:rFonts w:ascii="Arial" w:hAnsi="Arial" w:cs="Arial"/>
                <w:sz w:val="24"/>
                <w:szCs w:val="24"/>
              </w:rPr>
            </w:pPr>
            <w:r>
              <w:rPr>
                <w:rFonts w:ascii="Arial" w:hAnsi="Arial" w:cs="Arial"/>
                <w:sz w:val="24"/>
                <w:szCs w:val="24"/>
              </w:rPr>
              <w:t>Business processes</w:t>
            </w:r>
          </w:p>
        </w:tc>
      </w:tr>
      <w:tr w:rsidR="006E3BCA" w:rsidRPr="00BB3250" w:rsidTr="00313B2A">
        <w:tc>
          <w:tcPr>
            <w:tcW w:w="1668" w:type="dxa"/>
            <w:gridSpan w:val="2"/>
            <w:tcBorders>
              <w:top w:val="nil"/>
              <w:left w:val="nil"/>
              <w:bottom w:val="nil"/>
              <w:right w:val="nil"/>
            </w:tcBorders>
          </w:tcPr>
          <w:p w:rsidR="006E3BCA" w:rsidRPr="00BB3250" w:rsidRDefault="006E3BCA" w:rsidP="00B649E4">
            <w:pPr>
              <w:spacing w:before="40" w:after="40"/>
              <w:jc w:val="center"/>
              <w:rPr>
                <w:rFonts w:ascii="Arial" w:hAnsi="Arial" w:cs="Arial"/>
                <w:sz w:val="20"/>
                <w:szCs w:val="20"/>
              </w:rPr>
            </w:pPr>
          </w:p>
        </w:tc>
        <w:tc>
          <w:tcPr>
            <w:tcW w:w="6237" w:type="dxa"/>
            <w:tcBorders>
              <w:top w:val="nil"/>
              <w:left w:val="nil"/>
              <w:bottom w:val="nil"/>
              <w:right w:val="nil"/>
            </w:tcBorders>
          </w:tcPr>
          <w:p w:rsidR="006E3BCA" w:rsidRPr="00BB3250" w:rsidRDefault="006E3BCA" w:rsidP="00B649E4">
            <w:pPr>
              <w:spacing w:before="40" w:after="40"/>
              <w:jc w:val="center"/>
              <w:rPr>
                <w:rFonts w:ascii="Arial" w:hAnsi="Arial" w:cs="Arial"/>
                <w:sz w:val="20"/>
                <w:szCs w:val="20"/>
              </w:rPr>
            </w:pPr>
            <w:r>
              <w:rPr>
                <w:rFonts w:ascii="Arial" w:hAnsi="Arial" w:cs="Arial"/>
                <w:sz w:val="20"/>
                <w:szCs w:val="20"/>
              </w:rPr>
              <w:t>financial processes, investment, payroll, human resources, ICT, procurement, business continuity, health &amp; safety</w:t>
            </w:r>
          </w:p>
        </w:tc>
        <w:tc>
          <w:tcPr>
            <w:tcW w:w="1417" w:type="dxa"/>
            <w:gridSpan w:val="2"/>
            <w:tcBorders>
              <w:top w:val="nil"/>
              <w:left w:val="nil"/>
              <w:bottom w:val="nil"/>
              <w:right w:val="nil"/>
            </w:tcBorders>
          </w:tcPr>
          <w:p w:rsidR="006E3BCA" w:rsidRPr="00BB3250" w:rsidRDefault="006E3BCA" w:rsidP="00B649E4">
            <w:pPr>
              <w:spacing w:before="40" w:after="40"/>
              <w:jc w:val="center"/>
              <w:rPr>
                <w:rFonts w:ascii="Arial" w:hAnsi="Arial" w:cs="Arial"/>
                <w:sz w:val="20"/>
                <w:szCs w:val="20"/>
              </w:rPr>
            </w:pPr>
          </w:p>
        </w:tc>
      </w:tr>
    </w:tbl>
    <w:p w:rsidR="006E3BCA" w:rsidRDefault="006E3BCA" w:rsidP="006E3BCA">
      <w:pPr>
        <w:rPr>
          <w:rFonts w:ascii="Arial" w:hAnsi="Arial" w:cs="Arial"/>
          <w:sz w:val="24"/>
          <w:szCs w:val="24"/>
        </w:rPr>
      </w:pPr>
    </w:p>
    <w:p w:rsidR="001E74A8" w:rsidRPr="00EC77AC" w:rsidRDefault="001E74A8" w:rsidP="00EC77AC">
      <w:pPr>
        <w:spacing w:line="240" w:lineRule="auto"/>
        <w:rPr>
          <w:rFonts w:ascii="Arial" w:hAnsi="Arial" w:cs="Arial"/>
          <w:sz w:val="24"/>
          <w:szCs w:val="24"/>
        </w:rPr>
      </w:pPr>
    </w:p>
    <w:p w:rsidR="00AE4DDE" w:rsidRPr="00AE4DDE" w:rsidRDefault="00AE4DDE" w:rsidP="00AE4DDE">
      <w:pPr>
        <w:spacing w:line="240" w:lineRule="auto"/>
        <w:rPr>
          <w:rFonts w:ascii="Arial" w:hAnsi="Arial" w:cs="Arial"/>
          <w:sz w:val="24"/>
          <w:szCs w:val="24"/>
        </w:rPr>
      </w:pPr>
    </w:p>
    <w:p w:rsidR="00646646" w:rsidRDefault="00646646" w:rsidP="00663EFC">
      <w:pPr>
        <w:spacing w:line="240" w:lineRule="auto"/>
        <w:rPr>
          <w:rFonts w:ascii="Arial" w:hAnsi="Arial" w:cs="Arial"/>
          <w:b/>
          <w:sz w:val="24"/>
          <w:szCs w:val="24"/>
        </w:rPr>
        <w:sectPr w:rsidR="00646646" w:rsidSect="001E74A8">
          <w:headerReference w:type="default" r:id="rId8"/>
          <w:footerReference w:type="default" r:id="rId9"/>
          <w:headerReference w:type="first" r:id="rId10"/>
          <w:pgSz w:w="11906" w:h="16838" w:code="9"/>
          <w:pgMar w:top="1440" w:right="1440" w:bottom="1418" w:left="1440" w:header="709" w:footer="709" w:gutter="0"/>
          <w:cols w:space="708"/>
          <w:titlePg/>
          <w:docGrid w:linePitch="360"/>
        </w:sectPr>
      </w:pPr>
    </w:p>
    <w:p w:rsidR="00805ED9" w:rsidRPr="00ED37DA" w:rsidRDefault="00EC77AC" w:rsidP="007A43E7">
      <w:pPr>
        <w:ind w:left="-284"/>
        <w:rPr>
          <w:rFonts w:ascii="Arial" w:hAnsi="Arial" w:cs="Arial"/>
          <w:sz w:val="24"/>
          <w:szCs w:val="24"/>
        </w:rPr>
      </w:pPr>
      <w:r>
        <w:rPr>
          <w:rFonts w:ascii="Arial" w:hAnsi="Arial" w:cs="Arial"/>
          <w:sz w:val="24"/>
          <w:szCs w:val="24"/>
        </w:rPr>
        <w:t xml:space="preserve">The work set out </w:t>
      </w:r>
      <w:r w:rsidRPr="00EB583D">
        <w:rPr>
          <w:rFonts w:ascii="Arial" w:hAnsi="Arial" w:cs="Arial"/>
          <w:sz w:val="24"/>
          <w:szCs w:val="24"/>
        </w:rPr>
        <w:t xml:space="preserve">below </w:t>
      </w:r>
      <w:r>
        <w:rPr>
          <w:rFonts w:ascii="Arial" w:hAnsi="Arial" w:cs="Arial"/>
          <w:sz w:val="24"/>
          <w:szCs w:val="24"/>
        </w:rPr>
        <w:t>is intended to obtain the evidence required to provide assurance over the council's key financial systems for 2015/16</w:t>
      </w:r>
      <w:r w:rsidR="00860043">
        <w:rPr>
          <w:rFonts w:ascii="Arial" w:hAnsi="Arial" w:cs="Arial"/>
          <w:sz w:val="24"/>
          <w:szCs w:val="24"/>
        </w:rPr>
        <w:t xml:space="preserve"> and</w:t>
      </w:r>
      <w:r>
        <w:rPr>
          <w:rFonts w:ascii="Arial" w:hAnsi="Arial" w:cs="Arial"/>
          <w:sz w:val="24"/>
          <w:szCs w:val="24"/>
        </w:rPr>
        <w:t xml:space="preserve"> to draw an overall opinion for 2016/17</w:t>
      </w:r>
      <w:r w:rsidR="00860043">
        <w:rPr>
          <w:rFonts w:ascii="Arial" w:hAnsi="Arial" w:cs="Arial"/>
          <w:sz w:val="24"/>
          <w:szCs w:val="24"/>
        </w:rPr>
        <w:t>, although i</w:t>
      </w:r>
      <w:r>
        <w:rPr>
          <w:rFonts w:ascii="Arial" w:hAnsi="Arial" w:cs="Arial"/>
          <w:sz w:val="24"/>
          <w:szCs w:val="24"/>
        </w:rPr>
        <w:t>t is likely that some elements of the work set out below will continue into 2017/18</w:t>
      </w:r>
      <w:r w:rsidR="00860043">
        <w:rPr>
          <w:rFonts w:ascii="Arial" w:hAnsi="Arial" w:cs="Arial"/>
          <w:sz w:val="24"/>
          <w:szCs w:val="24"/>
        </w:rPr>
        <w:t>. In</w:t>
      </w:r>
      <w:r>
        <w:rPr>
          <w:rFonts w:ascii="Arial" w:hAnsi="Arial" w:cs="Arial"/>
          <w:sz w:val="24"/>
          <w:szCs w:val="24"/>
        </w:rPr>
        <w:t>dividual elements within the plan may be amended but, taken as a whole, the resulting plan should address the principles set out above.</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544"/>
        <w:gridCol w:w="5812"/>
        <w:gridCol w:w="2976"/>
      </w:tblGrid>
      <w:tr w:rsidR="0051187A" w:rsidRPr="00D01C2E" w:rsidTr="00B370DC">
        <w:trPr>
          <w:trHeight w:val="315"/>
          <w:tblHeader/>
        </w:trPr>
        <w:tc>
          <w:tcPr>
            <w:tcW w:w="2127" w:type="dxa"/>
            <w:tcBorders>
              <w:bottom w:val="single" w:sz="4" w:space="0" w:color="auto"/>
            </w:tcBorders>
            <w:shd w:val="clear" w:color="auto" w:fill="D9D9D9" w:themeFill="background1" w:themeFillShade="D9"/>
            <w:noWrap/>
          </w:tcPr>
          <w:p w:rsidR="0051187A" w:rsidRPr="00D01C2E" w:rsidRDefault="0051187A" w:rsidP="00646646">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Service area</w:t>
            </w:r>
          </w:p>
        </w:tc>
        <w:tc>
          <w:tcPr>
            <w:tcW w:w="3544" w:type="dxa"/>
            <w:tcBorders>
              <w:bottom w:val="single" w:sz="4" w:space="0" w:color="auto"/>
            </w:tcBorders>
            <w:shd w:val="clear" w:color="auto" w:fill="D9D9D9" w:themeFill="background1" w:themeFillShade="D9"/>
          </w:tcPr>
          <w:p w:rsidR="0051187A" w:rsidRPr="00D01C2E" w:rsidRDefault="0051187A" w:rsidP="00AF3F69">
            <w:pPr>
              <w:spacing w:before="60" w:after="60" w:line="240" w:lineRule="auto"/>
              <w:rPr>
                <w:rFonts w:ascii="Arial" w:eastAsia="Times New Roman" w:hAnsi="Arial" w:cs="Arial"/>
                <w:b/>
                <w:bCs/>
                <w:color w:val="000000"/>
                <w:lang w:eastAsia="en-GB"/>
              </w:rPr>
            </w:pPr>
            <w:r w:rsidRPr="00D01C2E">
              <w:rPr>
                <w:rFonts w:ascii="Arial" w:eastAsia="Times New Roman" w:hAnsi="Arial" w:cs="Arial"/>
                <w:b/>
                <w:bCs/>
                <w:color w:val="000000"/>
                <w:lang w:eastAsia="en-GB"/>
              </w:rPr>
              <w:t>Operational area</w:t>
            </w:r>
            <w:r>
              <w:rPr>
                <w:rFonts w:ascii="Arial" w:eastAsia="Times New Roman" w:hAnsi="Arial" w:cs="Arial"/>
                <w:b/>
                <w:bCs/>
                <w:color w:val="000000"/>
                <w:lang w:eastAsia="en-GB"/>
              </w:rPr>
              <w:t xml:space="preserve"> of activity</w:t>
            </w:r>
          </w:p>
        </w:tc>
        <w:tc>
          <w:tcPr>
            <w:tcW w:w="5812" w:type="dxa"/>
            <w:tcBorders>
              <w:bottom w:val="single" w:sz="4" w:space="0" w:color="auto"/>
            </w:tcBorders>
            <w:shd w:val="clear" w:color="auto" w:fill="D9D9D9" w:themeFill="background1" w:themeFillShade="D9"/>
            <w:noWrap/>
          </w:tcPr>
          <w:p w:rsidR="0051187A" w:rsidRPr="00D01C2E" w:rsidRDefault="0051187A" w:rsidP="0051187A">
            <w:pPr>
              <w:spacing w:before="60" w:after="60" w:line="240" w:lineRule="auto"/>
              <w:rPr>
                <w:rFonts w:ascii="Arial" w:eastAsia="Times New Roman" w:hAnsi="Arial" w:cs="Arial"/>
                <w:b/>
                <w:bCs/>
                <w:color w:val="000000"/>
                <w:lang w:eastAsia="en-GB"/>
              </w:rPr>
            </w:pPr>
            <w:r w:rsidRPr="00D01C2E">
              <w:rPr>
                <w:rFonts w:ascii="Arial" w:eastAsia="Times New Roman" w:hAnsi="Arial" w:cs="Arial"/>
                <w:b/>
                <w:bCs/>
                <w:color w:val="000000"/>
                <w:lang w:eastAsia="en-GB"/>
              </w:rPr>
              <w:t>Audit work</w:t>
            </w:r>
          </w:p>
        </w:tc>
        <w:tc>
          <w:tcPr>
            <w:tcW w:w="2976" w:type="dxa"/>
            <w:tcBorders>
              <w:bottom w:val="single" w:sz="4" w:space="0" w:color="auto"/>
            </w:tcBorders>
            <w:shd w:val="clear" w:color="auto" w:fill="D9D9D9" w:themeFill="background1" w:themeFillShade="D9"/>
          </w:tcPr>
          <w:p w:rsidR="0051187A" w:rsidRPr="00D01C2E" w:rsidRDefault="0051187A" w:rsidP="00C64717">
            <w:pPr>
              <w:spacing w:before="60" w:after="6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Planning principle</w:t>
            </w:r>
          </w:p>
        </w:tc>
      </w:tr>
      <w:tr w:rsidR="0051187A" w:rsidRPr="00D01C2E" w:rsidTr="00B370DC">
        <w:trPr>
          <w:trHeight w:val="315"/>
        </w:trPr>
        <w:tc>
          <w:tcPr>
            <w:tcW w:w="5671" w:type="dxa"/>
            <w:gridSpan w:val="2"/>
            <w:tcBorders>
              <w:bottom w:val="single" w:sz="4" w:space="0" w:color="auto"/>
              <w:right w:val="nil"/>
            </w:tcBorders>
            <w:shd w:val="clear" w:color="auto" w:fill="auto"/>
            <w:noWrap/>
            <w:hideMark/>
          </w:tcPr>
          <w:p w:rsidR="0051187A" w:rsidRDefault="0051187A" w:rsidP="006B5F68">
            <w:pPr>
              <w:spacing w:before="60" w:after="60" w:line="240" w:lineRule="auto"/>
              <w:rPr>
                <w:rFonts w:ascii="Arial" w:eastAsia="Times New Roman" w:hAnsi="Arial" w:cs="Arial"/>
                <w:color w:val="000000"/>
                <w:lang w:eastAsia="en-GB"/>
              </w:rPr>
            </w:pPr>
            <w:r w:rsidRPr="00F568DF">
              <w:rPr>
                <w:rFonts w:ascii="Arial" w:eastAsia="Times New Roman" w:hAnsi="Arial" w:cs="Arial"/>
                <w:b/>
                <w:bCs/>
                <w:color w:val="000000"/>
                <w:lang w:eastAsia="en-GB"/>
              </w:rPr>
              <w:t>Governance and democratic oversight</w:t>
            </w:r>
          </w:p>
        </w:tc>
        <w:tc>
          <w:tcPr>
            <w:tcW w:w="5812" w:type="dxa"/>
            <w:tcBorders>
              <w:left w:val="nil"/>
              <w:bottom w:val="single" w:sz="4" w:space="0" w:color="auto"/>
              <w:right w:val="nil"/>
            </w:tcBorders>
            <w:shd w:val="clear" w:color="auto" w:fill="auto"/>
          </w:tcPr>
          <w:p w:rsidR="0051187A" w:rsidRDefault="0051187A" w:rsidP="006B5F68">
            <w:pPr>
              <w:spacing w:before="60" w:after="60" w:line="240" w:lineRule="auto"/>
              <w:rPr>
                <w:rFonts w:ascii="Arial" w:eastAsia="Times New Roman" w:hAnsi="Arial" w:cs="Arial"/>
                <w:color w:val="000000"/>
                <w:lang w:eastAsia="en-GB"/>
              </w:rPr>
            </w:pPr>
          </w:p>
        </w:tc>
        <w:tc>
          <w:tcPr>
            <w:tcW w:w="2976" w:type="dxa"/>
            <w:tcBorders>
              <w:left w:val="nil"/>
              <w:bottom w:val="single" w:sz="4" w:space="0" w:color="auto"/>
            </w:tcBorders>
            <w:shd w:val="clear" w:color="auto" w:fill="auto"/>
          </w:tcPr>
          <w:p w:rsidR="0051187A" w:rsidRDefault="0051187A" w:rsidP="006B5F68">
            <w:pPr>
              <w:spacing w:before="60" w:after="60" w:line="240" w:lineRule="auto"/>
              <w:rPr>
                <w:rFonts w:ascii="Arial" w:eastAsia="Times New Roman" w:hAnsi="Arial" w:cs="Arial"/>
                <w:color w:val="000000"/>
                <w:lang w:eastAsia="en-GB"/>
              </w:rPr>
            </w:pPr>
          </w:p>
        </w:tc>
      </w:tr>
      <w:tr w:rsidR="0051187A" w:rsidRPr="00D01C2E" w:rsidTr="00B370DC">
        <w:trPr>
          <w:trHeight w:val="300"/>
        </w:trPr>
        <w:tc>
          <w:tcPr>
            <w:tcW w:w="2127" w:type="dxa"/>
            <w:tcBorders>
              <w:bottom w:val="nil"/>
            </w:tcBorders>
            <w:shd w:val="clear" w:color="auto" w:fill="auto"/>
            <w:noWrap/>
            <w:hideMark/>
          </w:tcPr>
          <w:p w:rsidR="0051187A" w:rsidRPr="00F568DF" w:rsidRDefault="0051187A" w:rsidP="00843C46">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C</w:t>
            </w:r>
            <w:r w:rsidRPr="00F568DF">
              <w:rPr>
                <w:rFonts w:ascii="Arial" w:eastAsia="Times New Roman" w:hAnsi="Arial" w:cs="Arial"/>
                <w:color w:val="000000"/>
                <w:lang w:eastAsia="en-GB"/>
              </w:rPr>
              <w:t>orporate governance framework</w:t>
            </w:r>
          </w:p>
        </w:tc>
        <w:tc>
          <w:tcPr>
            <w:tcW w:w="3544" w:type="dxa"/>
          </w:tcPr>
          <w:p w:rsidR="0051187A" w:rsidRPr="00D01C2E" w:rsidRDefault="0051187A" w:rsidP="00843C46">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Documentation of the council's governance arrangements</w:t>
            </w:r>
          </w:p>
        </w:tc>
        <w:tc>
          <w:tcPr>
            <w:tcW w:w="5812" w:type="dxa"/>
            <w:shd w:val="clear" w:color="auto" w:fill="auto"/>
            <w:noWrap/>
          </w:tcPr>
          <w:p w:rsidR="0051187A" w:rsidRPr="00D01C2E" w:rsidRDefault="0051187A" w:rsidP="00843C4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Review </w:t>
            </w:r>
            <w:r w:rsidRPr="00D01C2E">
              <w:rPr>
                <w:rFonts w:ascii="Arial" w:eastAsia="Times New Roman" w:hAnsi="Arial" w:cs="Arial"/>
                <w:color w:val="000000"/>
                <w:lang w:eastAsia="en-GB"/>
              </w:rPr>
              <w:t>of the ownership, completeness and currency of documentation the council is required to hold, publicise and periodically review</w:t>
            </w:r>
            <w:r>
              <w:rPr>
                <w:rFonts w:ascii="Arial" w:eastAsia="Times New Roman" w:hAnsi="Arial" w:cs="Arial"/>
                <w:color w:val="000000"/>
                <w:lang w:eastAsia="en-GB"/>
              </w:rPr>
              <w:t xml:space="preserve"> setting out its governance arrangements</w:t>
            </w:r>
            <w:r w:rsidRPr="00D01C2E">
              <w:rPr>
                <w:rFonts w:ascii="Arial" w:eastAsia="Times New Roman" w:hAnsi="Arial" w:cs="Arial"/>
                <w:color w:val="000000"/>
                <w:lang w:eastAsia="en-GB"/>
              </w:rPr>
              <w:t>.</w:t>
            </w:r>
          </w:p>
        </w:tc>
        <w:tc>
          <w:tcPr>
            <w:tcW w:w="2976" w:type="dxa"/>
          </w:tcPr>
          <w:p w:rsidR="0051187A" w:rsidRDefault="0051187A" w:rsidP="00A47E3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Key component of opinion</w:t>
            </w:r>
          </w:p>
        </w:tc>
      </w:tr>
      <w:tr w:rsidR="0051187A" w:rsidRPr="00D01C2E" w:rsidTr="00B370DC">
        <w:trPr>
          <w:trHeight w:val="300"/>
        </w:trPr>
        <w:tc>
          <w:tcPr>
            <w:tcW w:w="2127" w:type="dxa"/>
            <w:tcBorders>
              <w:top w:val="nil"/>
              <w:bottom w:val="single" w:sz="4" w:space="0" w:color="auto"/>
            </w:tcBorders>
            <w:shd w:val="clear" w:color="auto" w:fill="auto"/>
            <w:noWrap/>
          </w:tcPr>
          <w:p w:rsidR="0051187A" w:rsidRPr="00D01C2E" w:rsidRDefault="0051187A" w:rsidP="00843C46">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51187A" w:rsidRPr="00D01C2E" w:rsidRDefault="0051187A" w:rsidP="00843C46">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 xml:space="preserve">Effective oversight of corporate governance by </w:t>
            </w:r>
            <w:r>
              <w:rPr>
                <w:rFonts w:ascii="Arial" w:eastAsia="Times New Roman" w:hAnsi="Arial" w:cs="Arial"/>
                <w:color w:val="000000"/>
                <w:lang w:eastAsia="en-GB"/>
              </w:rPr>
              <w:t xml:space="preserve">the </w:t>
            </w:r>
            <w:r w:rsidR="00B36F70">
              <w:rPr>
                <w:rFonts w:ascii="Arial" w:eastAsia="Times New Roman" w:hAnsi="Arial" w:cs="Arial"/>
                <w:color w:val="000000"/>
                <w:lang w:eastAsia="en-GB"/>
              </w:rPr>
              <w:t>Audit and</w:t>
            </w:r>
            <w:r w:rsidRPr="00D01C2E">
              <w:rPr>
                <w:rFonts w:ascii="Arial" w:eastAsia="Times New Roman" w:hAnsi="Arial" w:cs="Arial"/>
                <w:color w:val="000000"/>
                <w:lang w:eastAsia="en-GB"/>
              </w:rPr>
              <w:t xml:space="preserve"> Governance Committee</w:t>
            </w:r>
          </w:p>
        </w:tc>
        <w:tc>
          <w:tcPr>
            <w:tcW w:w="5812" w:type="dxa"/>
            <w:tcBorders>
              <w:bottom w:val="single" w:sz="4" w:space="0" w:color="auto"/>
            </w:tcBorders>
            <w:shd w:val="clear" w:color="auto" w:fill="auto"/>
            <w:noWrap/>
          </w:tcPr>
          <w:p w:rsidR="0051187A" w:rsidRPr="00F568DF" w:rsidRDefault="0051187A" w:rsidP="00594D9B">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Assessment </w:t>
            </w:r>
            <w:r w:rsidRPr="00D01C2E">
              <w:rPr>
                <w:rFonts w:ascii="Arial" w:eastAsia="Times New Roman" w:hAnsi="Arial" w:cs="Arial"/>
                <w:color w:val="000000"/>
                <w:lang w:eastAsia="en-GB"/>
              </w:rPr>
              <w:t xml:space="preserve">of the constitution and operation of the Audit </w:t>
            </w:r>
            <w:r w:rsidR="00594D9B">
              <w:rPr>
                <w:rFonts w:ascii="Arial" w:eastAsia="Times New Roman" w:hAnsi="Arial" w:cs="Arial"/>
                <w:color w:val="000000"/>
                <w:lang w:eastAsia="en-GB"/>
              </w:rPr>
              <w:t>and</w:t>
            </w:r>
            <w:r w:rsidRPr="00D01C2E">
              <w:rPr>
                <w:rFonts w:ascii="Arial" w:eastAsia="Times New Roman" w:hAnsi="Arial" w:cs="Arial"/>
                <w:color w:val="000000"/>
                <w:lang w:eastAsia="en-GB"/>
              </w:rPr>
              <w:t xml:space="preserve"> Governance Committee against professional guidance and </w:t>
            </w:r>
            <w:r>
              <w:rPr>
                <w:rFonts w:ascii="Arial" w:eastAsia="Times New Roman" w:hAnsi="Arial" w:cs="Arial"/>
                <w:color w:val="000000"/>
                <w:lang w:eastAsia="en-GB"/>
              </w:rPr>
              <w:t>current best</w:t>
            </w:r>
            <w:r w:rsidRPr="00D01C2E">
              <w:rPr>
                <w:rFonts w:ascii="Arial" w:eastAsia="Times New Roman" w:hAnsi="Arial" w:cs="Arial"/>
                <w:color w:val="000000"/>
                <w:lang w:eastAsia="en-GB"/>
              </w:rPr>
              <w:t xml:space="preserve"> practice.</w:t>
            </w:r>
          </w:p>
        </w:tc>
        <w:tc>
          <w:tcPr>
            <w:tcW w:w="2976" w:type="dxa"/>
            <w:tcBorders>
              <w:bottom w:val="single" w:sz="4" w:space="0" w:color="auto"/>
            </w:tcBorders>
          </w:tcPr>
          <w:p w:rsidR="0051187A" w:rsidRDefault="0051187A" w:rsidP="00843C4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Key component of opinion</w:t>
            </w:r>
          </w:p>
        </w:tc>
      </w:tr>
      <w:tr w:rsidR="0051187A" w:rsidRPr="00D01C2E" w:rsidTr="00B370DC">
        <w:trPr>
          <w:trHeight w:val="315"/>
        </w:trPr>
        <w:tc>
          <w:tcPr>
            <w:tcW w:w="5671" w:type="dxa"/>
            <w:gridSpan w:val="2"/>
            <w:tcBorders>
              <w:right w:val="nil"/>
            </w:tcBorders>
            <w:shd w:val="clear" w:color="auto" w:fill="auto"/>
            <w:noWrap/>
            <w:hideMark/>
          </w:tcPr>
          <w:p w:rsidR="0051187A" w:rsidRPr="00F568DF" w:rsidRDefault="0051187A" w:rsidP="006B5F68">
            <w:pPr>
              <w:spacing w:before="60" w:after="60" w:line="240" w:lineRule="auto"/>
              <w:rPr>
                <w:rFonts w:ascii="Arial" w:eastAsia="Times New Roman" w:hAnsi="Arial" w:cs="Arial"/>
                <w:b/>
                <w:bCs/>
                <w:color w:val="000000"/>
                <w:lang w:eastAsia="en-GB"/>
              </w:rPr>
            </w:pPr>
            <w:r w:rsidRPr="00F568DF">
              <w:rPr>
                <w:rFonts w:ascii="Arial" w:eastAsia="Times New Roman" w:hAnsi="Arial" w:cs="Arial"/>
                <w:b/>
                <w:bCs/>
                <w:color w:val="000000"/>
                <w:lang w:eastAsia="en-GB"/>
              </w:rPr>
              <w:t>Business effectiveness</w:t>
            </w:r>
          </w:p>
        </w:tc>
        <w:tc>
          <w:tcPr>
            <w:tcW w:w="5812" w:type="dxa"/>
            <w:tcBorders>
              <w:left w:val="nil"/>
              <w:right w:val="nil"/>
            </w:tcBorders>
            <w:shd w:val="clear" w:color="auto" w:fill="auto"/>
          </w:tcPr>
          <w:p w:rsidR="0051187A" w:rsidRPr="00F568DF" w:rsidRDefault="0051187A" w:rsidP="006B5F68">
            <w:pPr>
              <w:spacing w:before="60" w:after="60" w:line="240" w:lineRule="auto"/>
              <w:rPr>
                <w:rFonts w:ascii="Arial" w:eastAsia="Times New Roman" w:hAnsi="Arial" w:cs="Arial"/>
                <w:b/>
                <w:bCs/>
                <w:color w:val="000000"/>
                <w:lang w:eastAsia="en-GB"/>
              </w:rPr>
            </w:pPr>
          </w:p>
        </w:tc>
        <w:tc>
          <w:tcPr>
            <w:tcW w:w="2976" w:type="dxa"/>
            <w:tcBorders>
              <w:left w:val="nil"/>
            </w:tcBorders>
            <w:shd w:val="clear" w:color="auto" w:fill="auto"/>
          </w:tcPr>
          <w:p w:rsidR="0051187A" w:rsidRPr="00F568DF" w:rsidRDefault="0051187A" w:rsidP="006B5F68">
            <w:pPr>
              <w:spacing w:before="60" w:after="60" w:line="240" w:lineRule="auto"/>
              <w:rPr>
                <w:rFonts w:ascii="Arial" w:eastAsia="Times New Roman" w:hAnsi="Arial" w:cs="Arial"/>
                <w:b/>
                <w:bCs/>
                <w:color w:val="000000"/>
                <w:lang w:eastAsia="en-GB"/>
              </w:rPr>
            </w:pPr>
          </w:p>
        </w:tc>
      </w:tr>
      <w:tr w:rsidR="0051187A" w:rsidRPr="00D01C2E" w:rsidTr="00B370DC">
        <w:trPr>
          <w:trHeight w:val="300"/>
        </w:trPr>
        <w:tc>
          <w:tcPr>
            <w:tcW w:w="2127" w:type="dxa"/>
            <w:tcBorders>
              <w:bottom w:val="single" w:sz="4" w:space="0" w:color="auto"/>
            </w:tcBorders>
            <w:shd w:val="clear" w:color="auto" w:fill="auto"/>
            <w:noWrap/>
            <w:hideMark/>
          </w:tcPr>
          <w:p w:rsidR="0051187A" w:rsidRPr="00F568DF" w:rsidRDefault="0051187A" w:rsidP="00843C46">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R</w:t>
            </w:r>
            <w:r w:rsidRPr="00F568DF">
              <w:rPr>
                <w:rFonts w:ascii="Arial" w:eastAsia="Times New Roman" w:hAnsi="Arial" w:cs="Arial"/>
                <w:color w:val="000000"/>
                <w:lang w:eastAsia="en-GB"/>
              </w:rPr>
              <w:t>isk management</w:t>
            </w:r>
          </w:p>
        </w:tc>
        <w:tc>
          <w:tcPr>
            <w:tcW w:w="3544" w:type="dxa"/>
          </w:tcPr>
          <w:p w:rsidR="0051187A" w:rsidRPr="00D01C2E" w:rsidRDefault="0051187A" w:rsidP="00843C46">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 xml:space="preserve">Preparation and use of the corporate </w:t>
            </w:r>
            <w:r w:rsidRPr="00F568DF">
              <w:rPr>
                <w:rFonts w:ascii="Arial" w:eastAsia="Times New Roman" w:hAnsi="Arial" w:cs="Arial"/>
                <w:color w:val="000000"/>
                <w:lang w:eastAsia="en-GB"/>
              </w:rPr>
              <w:t xml:space="preserve">risk </w:t>
            </w:r>
            <w:r w:rsidRPr="00D01C2E">
              <w:rPr>
                <w:rFonts w:ascii="Arial" w:eastAsia="Times New Roman" w:hAnsi="Arial" w:cs="Arial"/>
                <w:color w:val="000000"/>
                <w:lang w:eastAsia="en-GB"/>
              </w:rPr>
              <w:t>register</w:t>
            </w:r>
          </w:p>
        </w:tc>
        <w:tc>
          <w:tcPr>
            <w:tcW w:w="5812" w:type="dxa"/>
            <w:shd w:val="clear" w:color="auto" w:fill="auto"/>
            <w:noWrap/>
            <w:hideMark/>
          </w:tcPr>
          <w:p w:rsidR="0051187A" w:rsidRPr="00F568DF" w:rsidRDefault="0051187A" w:rsidP="00843C46">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Assessment of the principles and practical operation of risk management arrangements to produce a corporate risk register and respond to the issues it records.</w:t>
            </w:r>
          </w:p>
        </w:tc>
        <w:tc>
          <w:tcPr>
            <w:tcW w:w="2976" w:type="dxa"/>
          </w:tcPr>
          <w:p w:rsidR="0051187A" w:rsidRPr="00D01C2E" w:rsidRDefault="0051187A" w:rsidP="00843C4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Key component of opinion</w:t>
            </w:r>
          </w:p>
        </w:tc>
      </w:tr>
      <w:tr w:rsidR="0051187A" w:rsidRPr="00D01C2E" w:rsidTr="00B370DC">
        <w:trPr>
          <w:trHeight w:val="300"/>
        </w:trPr>
        <w:tc>
          <w:tcPr>
            <w:tcW w:w="2127" w:type="dxa"/>
            <w:tcBorders>
              <w:bottom w:val="nil"/>
            </w:tcBorders>
            <w:shd w:val="clear" w:color="auto" w:fill="auto"/>
            <w:noWrap/>
          </w:tcPr>
          <w:p w:rsidR="0051187A" w:rsidRPr="00D01C2E" w:rsidRDefault="0051187A" w:rsidP="000F53A1">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Financial governance</w:t>
            </w:r>
          </w:p>
        </w:tc>
        <w:tc>
          <w:tcPr>
            <w:tcW w:w="3544" w:type="dxa"/>
            <w:tcBorders>
              <w:bottom w:val="single" w:sz="4" w:space="0" w:color="auto"/>
            </w:tcBorders>
          </w:tcPr>
          <w:p w:rsidR="0051187A" w:rsidRPr="00D01C2E" w:rsidRDefault="0051187A" w:rsidP="000F53A1">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Delivery of the council's financial strategy and budget reductions</w:t>
            </w:r>
          </w:p>
        </w:tc>
        <w:tc>
          <w:tcPr>
            <w:tcW w:w="5812" w:type="dxa"/>
            <w:tcBorders>
              <w:bottom w:val="single" w:sz="4" w:space="0" w:color="auto"/>
            </w:tcBorders>
            <w:shd w:val="clear" w:color="auto" w:fill="auto"/>
            <w:noWrap/>
          </w:tcPr>
          <w:p w:rsidR="0051187A" w:rsidRPr="00F568DF" w:rsidRDefault="0051187A" w:rsidP="000F53A1">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Risk and control assessment of the measures in place to monitor and achieve planned budget reductions.</w:t>
            </w:r>
          </w:p>
        </w:tc>
        <w:tc>
          <w:tcPr>
            <w:tcW w:w="2976" w:type="dxa"/>
            <w:tcBorders>
              <w:bottom w:val="single" w:sz="4" w:space="0" w:color="auto"/>
            </w:tcBorders>
          </w:tcPr>
          <w:p w:rsidR="0051187A" w:rsidRPr="00F568DF" w:rsidRDefault="0051187A" w:rsidP="00B370D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Controls to mitigate </w:t>
            </w:r>
            <w:r w:rsidR="00B370DC">
              <w:rPr>
                <w:rFonts w:ascii="Arial" w:eastAsia="Times New Roman" w:hAnsi="Arial" w:cs="Arial"/>
                <w:color w:val="000000"/>
                <w:lang w:eastAsia="en-GB"/>
              </w:rPr>
              <w:t>a significant risk</w:t>
            </w:r>
          </w:p>
        </w:tc>
      </w:tr>
      <w:tr w:rsidR="0051187A" w:rsidRPr="00D01C2E" w:rsidTr="00B370DC">
        <w:trPr>
          <w:trHeight w:val="300"/>
        </w:trPr>
        <w:tc>
          <w:tcPr>
            <w:tcW w:w="2127" w:type="dxa"/>
            <w:tcBorders>
              <w:top w:val="nil"/>
              <w:bottom w:val="nil"/>
            </w:tcBorders>
            <w:shd w:val="clear" w:color="auto" w:fill="auto"/>
            <w:noWrap/>
          </w:tcPr>
          <w:p w:rsidR="0051187A" w:rsidRDefault="0051187A" w:rsidP="00843C46">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51187A" w:rsidRDefault="0051187A" w:rsidP="00843C4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Oversight of the Lancashire Pension Fund</w:t>
            </w:r>
          </w:p>
        </w:tc>
        <w:tc>
          <w:tcPr>
            <w:tcW w:w="5812" w:type="dxa"/>
            <w:tcBorders>
              <w:bottom w:val="single" w:sz="4" w:space="0" w:color="auto"/>
            </w:tcBorders>
            <w:shd w:val="clear" w:color="auto" w:fill="auto"/>
            <w:noWrap/>
          </w:tcPr>
          <w:p w:rsidR="0051187A" w:rsidRDefault="0051187A" w:rsidP="00D574D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Assessment of the governance framework to achieve corporate oversight by the council of the Fund, whose assets are owned by the council.</w:t>
            </w:r>
          </w:p>
        </w:tc>
        <w:tc>
          <w:tcPr>
            <w:tcW w:w="2976" w:type="dxa"/>
            <w:tcBorders>
              <w:bottom w:val="single" w:sz="4" w:space="0" w:color="auto"/>
            </w:tcBorders>
          </w:tcPr>
          <w:p w:rsidR="0051187A" w:rsidRPr="00F568DF" w:rsidRDefault="0051187A" w:rsidP="00B370D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Controls </w:t>
            </w:r>
            <w:r w:rsidR="00B370DC">
              <w:rPr>
                <w:rFonts w:ascii="Arial" w:eastAsia="Times New Roman" w:hAnsi="Arial" w:cs="Arial"/>
                <w:color w:val="000000"/>
                <w:lang w:eastAsia="en-GB"/>
              </w:rPr>
              <w:t>to mitigate a significant risk</w:t>
            </w:r>
          </w:p>
        </w:tc>
      </w:tr>
      <w:tr w:rsidR="0051187A" w:rsidRPr="00D01C2E" w:rsidTr="00B370DC">
        <w:trPr>
          <w:trHeight w:val="300"/>
        </w:trPr>
        <w:tc>
          <w:tcPr>
            <w:tcW w:w="2127" w:type="dxa"/>
            <w:tcBorders>
              <w:top w:val="nil"/>
              <w:bottom w:val="single" w:sz="4" w:space="0" w:color="auto"/>
            </w:tcBorders>
            <w:shd w:val="clear" w:color="auto" w:fill="auto"/>
            <w:noWrap/>
          </w:tcPr>
          <w:p w:rsidR="0051187A" w:rsidRDefault="0051187A" w:rsidP="00843C46">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51187A" w:rsidRDefault="0051187A" w:rsidP="008028C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Acting as accountable body for funding</w:t>
            </w:r>
          </w:p>
        </w:tc>
        <w:tc>
          <w:tcPr>
            <w:tcW w:w="5812" w:type="dxa"/>
            <w:tcBorders>
              <w:bottom w:val="single" w:sz="4" w:space="0" w:color="auto"/>
            </w:tcBorders>
            <w:shd w:val="clear" w:color="auto" w:fill="auto"/>
            <w:noWrap/>
          </w:tcPr>
          <w:p w:rsidR="0051187A" w:rsidRPr="00F568DF" w:rsidRDefault="0051187A" w:rsidP="009F28D0">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E</w:t>
            </w:r>
            <w:r w:rsidRPr="00713FCF">
              <w:rPr>
                <w:rFonts w:ascii="Arial" w:eastAsia="Times New Roman" w:hAnsi="Arial" w:cs="Arial"/>
                <w:color w:val="000000"/>
                <w:lang w:eastAsia="en-GB"/>
              </w:rPr>
              <w:t xml:space="preserve">valuation of </w:t>
            </w:r>
            <w:r>
              <w:rPr>
                <w:rFonts w:ascii="Arial" w:eastAsia="Times New Roman" w:hAnsi="Arial" w:cs="Arial"/>
                <w:color w:val="000000"/>
                <w:lang w:eastAsia="en-GB"/>
              </w:rPr>
              <w:t xml:space="preserve">the </w:t>
            </w:r>
            <w:r w:rsidRPr="00713FCF">
              <w:rPr>
                <w:rFonts w:ascii="Arial" w:eastAsia="Times New Roman" w:hAnsi="Arial" w:cs="Arial"/>
                <w:color w:val="000000"/>
                <w:lang w:eastAsia="en-GB"/>
              </w:rPr>
              <w:t>control</w:t>
            </w:r>
            <w:r>
              <w:rPr>
                <w:rFonts w:ascii="Arial" w:eastAsia="Times New Roman" w:hAnsi="Arial" w:cs="Arial"/>
                <w:color w:val="000000"/>
                <w:lang w:eastAsia="en-GB"/>
              </w:rPr>
              <w:t>s</w:t>
            </w:r>
            <w:r w:rsidRPr="00713FCF">
              <w:rPr>
                <w:rFonts w:ascii="Arial" w:eastAsia="Times New Roman" w:hAnsi="Arial" w:cs="Arial"/>
                <w:color w:val="000000"/>
                <w:lang w:eastAsia="en-GB"/>
              </w:rPr>
              <w:t xml:space="preserve"> t</w:t>
            </w:r>
            <w:r>
              <w:rPr>
                <w:rFonts w:ascii="Arial" w:eastAsia="Times New Roman" w:hAnsi="Arial" w:cs="Arial"/>
                <w:color w:val="000000"/>
                <w:lang w:eastAsia="en-GB"/>
              </w:rPr>
              <w:t>hat</w:t>
            </w:r>
            <w:r w:rsidRPr="00713FCF">
              <w:rPr>
                <w:rFonts w:ascii="Arial" w:eastAsia="Times New Roman" w:hAnsi="Arial" w:cs="Arial"/>
                <w:color w:val="000000"/>
                <w:lang w:eastAsia="en-GB"/>
              </w:rPr>
              <w:t xml:space="preserve"> </w:t>
            </w:r>
            <w:r>
              <w:rPr>
                <w:rFonts w:ascii="Arial" w:eastAsia="Times New Roman" w:hAnsi="Arial" w:cs="Arial"/>
                <w:color w:val="000000"/>
                <w:lang w:eastAsia="en-GB"/>
              </w:rPr>
              <w:t>manage the risks in taking on the role of accountable body, taking a sample of the most significant funding streams.</w:t>
            </w:r>
          </w:p>
        </w:tc>
        <w:tc>
          <w:tcPr>
            <w:tcW w:w="2976" w:type="dxa"/>
            <w:tcBorders>
              <w:bottom w:val="single" w:sz="4" w:space="0" w:color="auto"/>
            </w:tcBorders>
          </w:tcPr>
          <w:p w:rsidR="0051187A" w:rsidRDefault="0051187A" w:rsidP="00843C4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Coverage of controls across the organisation</w:t>
            </w:r>
          </w:p>
        </w:tc>
      </w:tr>
      <w:tr w:rsidR="0051187A" w:rsidRPr="00D01C2E" w:rsidTr="003F403B">
        <w:trPr>
          <w:trHeight w:val="300"/>
        </w:trPr>
        <w:tc>
          <w:tcPr>
            <w:tcW w:w="2127" w:type="dxa"/>
            <w:tcBorders>
              <w:bottom w:val="single" w:sz="4" w:space="0" w:color="auto"/>
            </w:tcBorders>
            <w:shd w:val="clear" w:color="auto" w:fill="auto"/>
            <w:noWrap/>
            <w:hideMark/>
          </w:tcPr>
          <w:p w:rsidR="0051187A" w:rsidRDefault="0051187A" w:rsidP="00060DAF">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P</w:t>
            </w:r>
            <w:r w:rsidRPr="00F568DF">
              <w:rPr>
                <w:rFonts w:ascii="Arial" w:eastAsia="Times New Roman" w:hAnsi="Arial" w:cs="Arial"/>
                <w:color w:val="000000"/>
                <w:lang w:eastAsia="en-GB"/>
              </w:rPr>
              <w:t>erformance monitoring</w:t>
            </w:r>
          </w:p>
          <w:p w:rsidR="0051187A" w:rsidRPr="00F568DF" w:rsidRDefault="0051187A" w:rsidP="00060DAF">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51187A" w:rsidRPr="00D01C2E" w:rsidRDefault="0051187A" w:rsidP="008028CE">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Corporate performance monitoring</w:t>
            </w:r>
          </w:p>
        </w:tc>
        <w:tc>
          <w:tcPr>
            <w:tcW w:w="5812" w:type="dxa"/>
            <w:tcBorders>
              <w:bottom w:val="single" w:sz="4" w:space="0" w:color="auto"/>
            </w:tcBorders>
            <w:shd w:val="clear" w:color="auto" w:fill="auto"/>
            <w:noWrap/>
            <w:hideMark/>
          </w:tcPr>
          <w:p w:rsidR="0051187A" w:rsidRPr="00F568DF" w:rsidRDefault="00A45BA6" w:rsidP="00A45BA6">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Support to management in establishing a revised framework for monitoring and managing achievement of the council's key strategies.</w:t>
            </w:r>
          </w:p>
        </w:tc>
        <w:tc>
          <w:tcPr>
            <w:tcW w:w="2976" w:type="dxa"/>
            <w:tcBorders>
              <w:bottom w:val="single" w:sz="4" w:space="0" w:color="auto"/>
            </w:tcBorders>
          </w:tcPr>
          <w:p w:rsidR="0051187A" w:rsidRPr="00F568DF" w:rsidRDefault="00A45BA6" w:rsidP="00B370DC">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Support to management to improve controls</w:t>
            </w:r>
          </w:p>
        </w:tc>
      </w:tr>
      <w:tr w:rsidR="003F403B" w:rsidRPr="00D01C2E" w:rsidTr="003F403B">
        <w:trPr>
          <w:trHeight w:val="300"/>
        </w:trPr>
        <w:tc>
          <w:tcPr>
            <w:tcW w:w="2127" w:type="dxa"/>
            <w:tcBorders>
              <w:left w:val="nil"/>
              <w:bottom w:val="nil"/>
              <w:right w:val="nil"/>
            </w:tcBorders>
            <w:shd w:val="clear" w:color="auto" w:fill="auto"/>
            <w:noWrap/>
          </w:tcPr>
          <w:p w:rsidR="00B03804" w:rsidRPr="00D01C2E" w:rsidRDefault="00B03804" w:rsidP="00060DAF">
            <w:pPr>
              <w:spacing w:before="60" w:after="60" w:line="240" w:lineRule="auto"/>
              <w:rPr>
                <w:rFonts w:ascii="Arial" w:eastAsia="Times New Roman" w:hAnsi="Arial" w:cs="Arial"/>
                <w:color w:val="000000"/>
                <w:lang w:eastAsia="en-GB"/>
              </w:rPr>
            </w:pPr>
          </w:p>
        </w:tc>
        <w:tc>
          <w:tcPr>
            <w:tcW w:w="3544" w:type="dxa"/>
            <w:tcBorders>
              <w:left w:val="nil"/>
              <w:bottom w:val="nil"/>
              <w:right w:val="nil"/>
            </w:tcBorders>
          </w:tcPr>
          <w:p w:rsidR="003F403B" w:rsidRPr="00D01C2E" w:rsidRDefault="003F403B" w:rsidP="008028CE">
            <w:pPr>
              <w:spacing w:before="60" w:after="60" w:line="240" w:lineRule="auto"/>
              <w:rPr>
                <w:rFonts w:ascii="Arial" w:eastAsia="Times New Roman" w:hAnsi="Arial" w:cs="Arial"/>
                <w:color w:val="000000"/>
                <w:lang w:eastAsia="en-GB"/>
              </w:rPr>
            </w:pPr>
          </w:p>
        </w:tc>
        <w:tc>
          <w:tcPr>
            <w:tcW w:w="5812" w:type="dxa"/>
            <w:tcBorders>
              <w:left w:val="nil"/>
              <w:bottom w:val="nil"/>
              <w:right w:val="nil"/>
            </w:tcBorders>
            <w:shd w:val="clear" w:color="auto" w:fill="auto"/>
            <w:noWrap/>
          </w:tcPr>
          <w:p w:rsidR="003F403B" w:rsidRPr="00D01C2E" w:rsidRDefault="003F403B" w:rsidP="00060DAF">
            <w:pPr>
              <w:spacing w:before="60" w:after="60" w:line="240" w:lineRule="auto"/>
              <w:rPr>
                <w:rFonts w:ascii="Arial" w:eastAsia="Times New Roman" w:hAnsi="Arial" w:cs="Arial"/>
                <w:color w:val="000000"/>
                <w:lang w:eastAsia="en-GB"/>
              </w:rPr>
            </w:pPr>
          </w:p>
        </w:tc>
        <w:tc>
          <w:tcPr>
            <w:tcW w:w="2976" w:type="dxa"/>
            <w:tcBorders>
              <w:left w:val="nil"/>
              <w:bottom w:val="nil"/>
              <w:right w:val="nil"/>
            </w:tcBorders>
          </w:tcPr>
          <w:p w:rsidR="003F403B" w:rsidRDefault="003F403B" w:rsidP="00B370DC">
            <w:pPr>
              <w:spacing w:before="60" w:after="60" w:line="240" w:lineRule="auto"/>
              <w:rPr>
                <w:rFonts w:ascii="Arial" w:eastAsia="Times New Roman" w:hAnsi="Arial" w:cs="Arial"/>
                <w:color w:val="000000"/>
                <w:lang w:eastAsia="en-GB"/>
              </w:rPr>
            </w:pPr>
          </w:p>
        </w:tc>
      </w:tr>
      <w:tr w:rsidR="0051187A" w:rsidRPr="00D01C2E" w:rsidTr="003F403B">
        <w:trPr>
          <w:trHeight w:val="315"/>
        </w:trPr>
        <w:tc>
          <w:tcPr>
            <w:tcW w:w="2127" w:type="dxa"/>
            <w:tcBorders>
              <w:top w:val="nil"/>
              <w:bottom w:val="single" w:sz="4" w:space="0" w:color="auto"/>
              <w:right w:val="nil"/>
            </w:tcBorders>
            <w:shd w:val="clear" w:color="auto" w:fill="auto"/>
            <w:noWrap/>
            <w:hideMark/>
          </w:tcPr>
          <w:p w:rsidR="0051187A" w:rsidRPr="00F568DF" w:rsidRDefault="0051187A" w:rsidP="00843C46">
            <w:pPr>
              <w:spacing w:before="60" w:after="60" w:line="240" w:lineRule="auto"/>
              <w:rPr>
                <w:rFonts w:ascii="Arial" w:eastAsia="Times New Roman" w:hAnsi="Arial" w:cs="Arial"/>
                <w:b/>
                <w:bCs/>
                <w:color w:val="000000"/>
                <w:lang w:eastAsia="en-GB"/>
              </w:rPr>
            </w:pPr>
            <w:r w:rsidRPr="00F568DF">
              <w:rPr>
                <w:rFonts w:ascii="Arial" w:eastAsia="Times New Roman" w:hAnsi="Arial" w:cs="Arial"/>
                <w:b/>
                <w:bCs/>
                <w:color w:val="000000"/>
                <w:lang w:eastAsia="en-GB"/>
              </w:rPr>
              <w:t>Service delivery</w:t>
            </w:r>
          </w:p>
        </w:tc>
        <w:tc>
          <w:tcPr>
            <w:tcW w:w="3544" w:type="dxa"/>
            <w:tcBorders>
              <w:top w:val="nil"/>
              <w:left w:val="nil"/>
              <w:right w:val="nil"/>
            </w:tcBorders>
          </w:tcPr>
          <w:p w:rsidR="0051187A" w:rsidRPr="00D01C2E" w:rsidRDefault="0051187A" w:rsidP="00843C46">
            <w:pPr>
              <w:spacing w:before="60" w:after="60" w:line="240" w:lineRule="auto"/>
              <w:rPr>
                <w:rFonts w:ascii="Arial" w:eastAsia="Times New Roman" w:hAnsi="Arial" w:cs="Arial"/>
                <w:b/>
                <w:bCs/>
                <w:color w:val="000000"/>
                <w:lang w:eastAsia="en-GB"/>
              </w:rPr>
            </w:pPr>
          </w:p>
        </w:tc>
        <w:tc>
          <w:tcPr>
            <w:tcW w:w="5812" w:type="dxa"/>
            <w:tcBorders>
              <w:top w:val="nil"/>
              <w:left w:val="nil"/>
              <w:right w:val="nil"/>
            </w:tcBorders>
            <w:shd w:val="clear" w:color="auto" w:fill="auto"/>
            <w:noWrap/>
            <w:hideMark/>
          </w:tcPr>
          <w:p w:rsidR="0051187A" w:rsidRPr="00F568DF" w:rsidRDefault="0051187A" w:rsidP="00843C46">
            <w:pPr>
              <w:spacing w:before="60" w:after="60" w:line="240" w:lineRule="auto"/>
              <w:rPr>
                <w:rFonts w:ascii="Arial" w:eastAsia="Times New Roman" w:hAnsi="Arial" w:cs="Arial"/>
                <w:b/>
                <w:bCs/>
                <w:color w:val="000000"/>
                <w:lang w:eastAsia="en-GB"/>
              </w:rPr>
            </w:pPr>
          </w:p>
        </w:tc>
        <w:tc>
          <w:tcPr>
            <w:tcW w:w="2976" w:type="dxa"/>
            <w:tcBorders>
              <w:top w:val="nil"/>
              <w:left w:val="nil"/>
              <w:right w:val="single" w:sz="4" w:space="0" w:color="auto"/>
            </w:tcBorders>
          </w:tcPr>
          <w:p w:rsidR="0051187A" w:rsidRPr="00F568DF" w:rsidRDefault="0051187A" w:rsidP="00843C46">
            <w:pPr>
              <w:spacing w:before="60" w:after="60" w:line="240" w:lineRule="auto"/>
              <w:rPr>
                <w:rFonts w:ascii="Arial" w:eastAsia="Times New Roman" w:hAnsi="Arial" w:cs="Arial"/>
                <w:b/>
                <w:bCs/>
                <w:color w:val="000000"/>
                <w:lang w:eastAsia="en-GB"/>
              </w:rPr>
            </w:pPr>
          </w:p>
        </w:tc>
      </w:tr>
      <w:tr w:rsidR="00E44AB7" w:rsidRPr="00D01C2E" w:rsidTr="00B370DC">
        <w:trPr>
          <w:trHeight w:val="300"/>
        </w:trPr>
        <w:tc>
          <w:tcPr>
            <w:tcW w:w="2127" w:type="dxa"/>
            <w:tcBorders>
              <w:bottom w:val="nil"/>
            </w:tcBorders>
            <w:shd w:val="clear" w:color="auto" w:fill="auto"/>
            <w:noWrap/>
            <w:hideMark/>
          </w:tcPr>
          <w:p w:rsidR="00E44AB7" w:rsidRPr="00F568DF" w:rsidRDefault="00E44AB7" w:rsidP="00E44AB7">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C</w:t>
            </w:r>
            <w:r w:rsidRPr="00F568DF">
              <w:rPr>
                <w:rFonts w:ascii="Arial" w:eastAsia="Times New Roman" w:hAnsi="Arial" w:cs="Arial"/>
                <w:color w:val="000000"/>
                <w:lang w:eastAsia="en-GB"/>
              </w:rPr>
              <w:t>hildren's services</w:t>
            </w:r>
          </w:p>
        </w:tc>
        <w:tc>
          <w:tcPr>
            <w:tcW w:w="3544" w:type="dxa"/>
          </w:tcPr>
          <w:p w:rsidR="00E44AB7" w:rsidRDefault="001C6943" w:rsidP="00E44AB7">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Escalation of matters of strategic or political importance through to the Operations and Delivery management team and beyond if appropriate</w:t>
            </w:r>
          </w:p>
        </w:tc>
        <w:tc>
          <w:tcPr>
            <w:tcW w:w="5812" w:type="dxa"/>
            <w:shd w:val="clear" w:color="auto" w:fill="auto"/>
            <w:noWrap/>
          </w:tcPr>
          <w:p w:rsidR="00E44AB7" w:rsidRDefault="001C6943" w:rsidP="001C694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Compliance testing of the escalation as appropriate of issues arising within individual caseloads or social care teams.</w:t>
            </w:r>
          </w:p>
          <w:p w:rsidR="001C6943" w:rsidRDefault="001C6943" w:rsidP="001C694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This work could be replicated in other service areas but will be piloted </w:t>
            </w:r>
            <w:r w:rsidR="00346BAA">
              <w:rPr>
                <w:rFonts w:ascii="Arial" w:eastAsia="Times New Roman" w:hAnsi="Arial" w:cs="Arial"/>
                <w:color w:val="000000"/>
                <w:lang w:eastAsia="en-GB"/>
              </w:rPr>
              <w:t xml:space="preserve">here </w:t>
            </w:r>
            <w:r>
              <w:rPr>
                <w:rFonts w:ascii="Arial" w:eastAsia="Times New Roman" w:hAnsi="Arial" w:cs="Arial"/>
                <w:color w:val="000000"/>
                <w:lang w:eastAsia="en-GB"/>
              </w:rPr>
              <w:t>first.</w:t>
            </w:r>
          </w:p>
        </w:tc>
        <w:tc>
          <w:tcPr>
            <w:tcW w:w="2976" w:type="dxa"/>
          </w:tcPr>
          <w:p w:rsidR="00E44AB7" w:rsidRDefault="001C6943" w:rsidP="00E44AB7">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Controls to mitigate a significant risk, and </w:t>
            </w:r>
          </w:p>
          <w:p w:rsidR="001C6943" w:rsidRDefault="001C6943" w:rsidP="001C694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supporting work relating to risk management</w:t>
            </w:r>
          </w:p>
        </w:tc>
      </w:tr>
      <w:tr w:rsidR="001C6943" w:rsidRPr="00313DFB" w:rsidTr="00B370DC">
        <w:trPr>
          <w:trHeight w:val="300"/>
        </w:trPr>
        <w:tc>
          <w:tcPr>
            <w:tcW w:w="2127" w:type="dxa"/>
            <w:tcBorders>
              <w:top w:val="nil"/>
              <w:bottom w:val="nil"/>
            </w:tcBorders>
            <w:shd w:val="clear" w:color="auto" w:fill="auto"/>
            <w:noWrap/>
          </w:tcPr>
          <w:p w:rsidR="001C6943" w:rsidRPr="00313DFB" w:rsidRDefault="001C6943" w:rsidP="001C6943">
            <w:pPr>
              <w:spacing w:before="60" w:after="60" w:line="240" w:lineRule="auto"/>
              <w:rPr>
                <w:rFonts w:ascii="Arial" w:eastAsia="Times New Roman" w:hAnsi="Arial" w:cs="Arial"/>
                <w:lang w:eastAsia="en-GB"/>
              </w:rPr>
            </w:pPr>
          </w:p>
        </w:tc>
        <w:tc>
          <w:tcPr>
            <w:tcW w:w="3544" w:type="dxa"/>
          </w:tcPr>
          <w:p w:rsidR="001C6943" w:rsidRPr="00D710AC" w:rsidRDefault="001C6943" w:rsidP="001C6943">
            <w:pPr>
              <w:spacing w:before="60" w:after="60" w:line="240" w:lineRule="auto"/>
              <w:rPr>
                <w:rFonts w:ascii="Arial" w:eastAsia="Times New Roman" w:hAnsi="Arial" w:cs="Arial"/>
                <w:lang w:eastAsia="en-GB"/>
              </w:rPr>
            </w:pPr>
            <w:r w:rsidRPr="00D710AC">
              <w:rPr>
                <w:rFonts w:ascii="Arial" w:eastAsia="Times New Roman" w:hAnsi="Arial" w:cs="Arial"/>
                <w:lang w:eastAsia="en-GB"/>
              </w:rPr>
              <w:t>Identification of, and responses to, external feedback on children's services and schools</w:t>
            </w:r>
          </w:p>
        </w:tc>
        <w:tc>
          <w:tcPr>
            <w:tcW w:w="5812" w:type="dxa"/>
            <w:shd w:val="clear" w:color="auto" w:fill="auto"/>
            <w:noWrap/>
          </w:tcPr>
          <w:p w:rsidR="001C6943" w:rsidRPr="00D710AC" w:rsidRDefault="001C6943" w:rsidP="001C6943">
            <w:pPr>
              <w:spacing w:before="60" w:after="60" w:line="240" w:lineRule="auto"/>
              <w:rPr>
                <w:rFonts w:ascii="Arial" w:eastAsia="Times New Roman" w:hAnsi="Arial" w:cs="Arial"/>
                <w:lang w:eastAsia="en-GB"/>
              </w:rPr>
            </w:pPr>
            <w:r w:rsidRPr="00D710AC">
              <w:rPr>
                <w:rFonts w:ascii="Arial" w:eastAsia="Times New Roman" w:hAnsi="Arial" w:cs="Arial"/>
                <w:lang w:eastAsia="en-GB"/>
              </w:rPr>
              <w:t>Assessment of the potential sources of feedback and operational services' responses to these including escalation of the information to senior management.</w:t>
            </w:r>
          </w:p>
        </w:tc>
        <w:tc>
          <w:tcPr>
            <w:tcW w:w="2976" w:type="dxa"/>
          </w:tcPr>
          <w:p w:rsidR="001C6943" w:rsidRPr="00D710AC" w:rsidRDefault="001C6943" w:rsidP="001C6943">
            <w:pPr>
              <w:spacing w:before="60" w:after="60" w:line="240" w:lineRule="auto"/>
              <w:rPr>
                <w:rFonts w:ascii="Arial" w:eastAsia="Times New Roman" w:hAnsi="Arial" w:cs="Arial"/>
                <w:lang w:eastAsia="en-GB"/>
              </w:rPr>
            </w:pPr>
            <w:r w:rsidRPr="00D710AC">
              <w:rPr>
                <w:rFonts w:ascii="Arial" w:eastAsia="Times New Roman" w:hAnsi="Arial" w:cs="Arial"/>
                <w:lang w:eastAsia="en-GB"/>
              </w:rPr>
              <w:t xml:space="preserve">Controls </w:t>
            </w:r>
            <w:r>
              <w:rPr>
                <w:rFonts w:ascii="Arial" w:eastAsia="Times New Roman" w:hAnsi="Arial" w:cs="Arial"/>
                <w:lang w:eastAsia="en-GB"/>
              </w:rPr>
              <w:t>to mitigate a significant risk</w:t>
            </w:r>
          </w:p>
        </w:tc>
      </w:tr>
      <w:tr w:rsidR="001C6943" w:rsidRPr="00313DFB" w:rsidTr="00B370DC">
        <w:trPr>
          <w:trHeight w:val="300"/>
        </w:trPr>
        <w:tc>
          <w:tcPr>
            <w:tcW w:w="2127" w:type="dxa"/>
            <w:tcBorders>
              <w:top w:val="nil"/>
              <w:bottom w:val="nil"/>
            </w:tcBorders>
            <w:shd w:val="clear" w:color="auto" w:fill="auto"/>
            <w:noWrap/>
          </w:tcPr>
          <w:p w:rsidR="001C6943" w:rsidRPr="00313DFB" w:rsidRDefault="001C6943" w:rsidP="001C6943">
            <w:pPr>
              <w:spacing w:before="60" w:after="60" w:line="240" w:lineRule="auto"/>
              <w:rPr>
                <w:rFonts w:ascii="Arial" w:eastAsia="Times New Roman" w:hAnsi="Arial" w:cs="Arial"/>
                <w:lang w:eastAsia="en-GB"/>
              </w:rPr>
            </w:pPr>
          </w:p>
        </w:tc>
        <w:tc>
          <w:tcPr>
            <w:tcW w:w="3544" w:type="dxa"/>
          </w:tcPr>
          <w:p w:rsidR="001C6943" w:rsidRPr="00313DFB" w:rsidRDefault="001C6943" w:rsidP="001C6943">
            <w:pPr>
              <w:spacing w:before="60" w:after="60" w:line="240" w:lineRule="auto"/>
              <w:rPr>
                <w:rFonts w:ascii="Arial" w:eastAsia="Times New Roman" w:hAnsi="Arial" w:cs="Arial"/>
                <w:lang w:eastAsia="en-GB"/>
              </w:rPr>
            </w:pPr>
            <w:r w:rsidRPr="00313DFB">
              <w:rPr>
                <w:rFonts w:ascii="Arial" w:eastAsia="Times New Roman" w:hAnsi="Arial" w:cs="Arial"/>
                <w:lang w:eastAsia="en-GB"/>
              </w:rPr>
              <w:t xml:space="preserve">Data </w:t>
            </w:r>
            <w:r>
              <w:rPr>
                <w:rFonts w:ascii="Arial" w:eastAsia="Times New Roman" w:hAnsi="Arial" w:cs="Arial"/>
                <w:lang w:eastAsia="en-GB"/>
              </w:rPr>
              <w:t xml:space="preserve">held on </w:t>
            </w:r>
            <w:r w:rsidRPr="00313DFB">
              <w:rPr>
                <w:rFonts w:ascii="Arial" w:eastAsia="Times New Roman" w:hAnsi="Arial" w:cs="Arial"/>
                <w:lang w:eastAsia="en-GB"/>
              </w:rPr>
              <w:t xml:space="preserve">LCS (Lancashire Children's Services system provided by </w:t>
            </w:r>
            <w:proofErr w:type="spellStart"/>
            <w:r w:rsidRPr="00313DFB">
              <w:rPr>
                <w:rFonts w:ascii="Arial" w:eastAsia="Times New Roman" w:hAnsi="Arial" w:cs="Arial"/>
                <w:lang w:eastAsia="en-GB"/>
              </w:rPr>
              <w:t>Liquidlogic</w:t>
            </w:r>
            <w:proofErr w:type="spellEnd"/>
            <w:r w:rsidRPr="00313DFB">
              <w:rPr>
                <w:rFonts w:ascii="Arial" w:eastAsia="Times New Roman" w:hAnsi="Arial" w:cs="Arial"/>
                <w:lang w:eastAsia="en-GB"/>
              </w:rPr>
              <w:t>)</w:t>
            </w:r>
          </w:p>
        </w:tc>
        <w:tc>
          <w:tcPr>
            <w:tcW w:w="5812" w:type="dxa"/>
            <w:shd w:val="clear" w:color="auto" w:fill="auto"/>
            <w:noWrap/>
          </w:tcPr>
          <w:p w:rsidR="001C6943" w:rsidRPr="00313DFB" w:rsidRDefault="001C6943" w:rsidP="001C6943">
            <w:pPr>
              <w:spacing w:before="60" w:after="60" w:line="240" w:lineRule="auto"/>
              <w:rPr>
                <w:rFonts w:ascii="Arial" w:eastAsia="Times New Roman" w:hAnsi="Arial" w:cs="Arial"/>
                <w:lang w:eastAsia="en-GB"/>
              </w:rPr>
            </w:pPr>
            <w:r>
              <w:rPr>
                <w:rFonts w:ascii="Arial" w:eastAsia="Times New Roman" w:hAnsi="Arial" w:cs="Arial"/>
                <w:lang w:eastAsia="en-GB"/>
              </w:rPr>
              <w:t>Compliance testing of the completeness and accuracy of the data records held on LCS.</w:t>
            </w:r>
          </w:p>
        </w:tc>
        <w:tc>
          <w:tcPr>
            <w:tcW w:w="2976" w:type="dxa"/>
          </w:tcPr>
          <w:p w:rsidR="001C6943" w:rsidRPr="00313DFB" w:rsidRDefault="001C6943" w:rsidP="001C6943">
            <w:pPr>
              <w:spacing w:before="60" w:after="60" w:line="240" w:lineRule="auto"/>
              <w:rPr>
                <w:rFonts w:ascii="Arial" w:eastAsia="Times New Roman" w:hAnsi="Arial" w:cs="Arial"/>
                <w:lang w:eastAsia="en-GB"/>
              </w:rPr>
            </w:pPr>
            <w:r>
              <w:rPr>
                <w:rFonts w:ascii="Arial" w:eastAsia="Times New Roman" w:hAnsi="Arial" w:cs="Arial"/>
                <w:color w:val="000000"/>
                <w:lang w:eastAsia="en-GB"/>
              </w:rPr>
              <w:t>Controls to mitigate a significant risk</w:t>
            </w:r>
          </w:p>
        </w:tc>
      </w:tr>
      <w:tr w:rsidR="001C6943" w:rsidRPr="00D01C2E" w:rsidTr="00EC2FCF">
        <w:trPr>
          <w:trHeight w:val="300"/>
        </w:trPr>
        <w:tc>
          <w:tcPr>
            <w:tcW w:w="2127" w:type="dxa"/>
            <w:tcBorders>
              <w:top w:val="nil"/>
              <w:bottom w:val="single" w:sz="4" w:space="0" w:color="auto"/>
            </w:tcBorders>
            <w:shd w:val="clear" w:color="auto" w:fill="auto"/>
            <w:noWrap/>
          </w:tcPr>
          <w:p w:rsidR="001C6943" w:rsidRPr="00D01C2E" w:rsidRDefault="001C6943" w:rsidP="001C6943">
            <w:pPr>
              <w:spacing w:before="60" w:after="60" w:line="240" w:lineRule="auto"/>
              <w:rPr>
                <w:rFonts w:ascii="Arial" w:eastAsia="Times New Roman" w:hAnsi="Arial" w:cs="Arial"/>
                <w:color w:val="000000"/>
                <w:lang w:eastAsia="en-GB"/>
              </w:rPr>
            </w:pPr>
          </w:p>
        </w:tc>
        <w:tc>
          <w:tcPr>
            <w:tcW w:w="3544" w:type="dxa"/>
          </w:tcPr>
          <w:p w:rsidR="001C6943" w:rsidRPr="00D01C2E" w:rsidRDefault="001C6943" w:rsidP="00940259">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Oversight of schools' financial management</w:t>
            </w:r>
          </w:p>
        </w:tc>
        <w:tc>
          <w:tcPr>
            <w:tcW w:w="5812" w:type="dxa"/>
            <w:shd w:val="clear" w:color="auto" w:fill="auto"/>
            <w:noWrap/>
          </w:tcPr>
          <w:p w:rsidR="001C6943" w:rsidRDefault="001C6943" w:rsidP="001C6943">
            <w:pPr>
              <w:spacing w:before="60" w:after="60" w:line="240" w:lineRule="auto"/>
              <w:rPr>
                <w:rFonts w:ascii="Arial" w:eastAsia="Times New Roman" w:hAnsi="Arial" w:cs="Arial"/>
                <w:color w:val="000000"/>
                <w:lang w:eastAsia="en-GB"/>
              </w:rPr>
            </w:pPr>
            <w:r w:rsidRPr="00AF3F69">
              <w:rPr>
                <w:rFonts w:ascii="Arial" w:eastAsia="Times New Roman" w:hAnsi="Arial" w:cs="Arial"/>
                <w:color w:val="000000"/>
                <w:lang w:eastAsia="en-GB"/>
              </w:rPr>
              <w:t xml:space="preserve">Risk and control evaluation of the arrangements </w:t>
            </w:r>
            <w:r>
              <w:rPr>
                <w:rFonts w:ascii="Arial" w:eastAsia="Times New Roman" w:hAnsi="Arial" w:cs="Arial"/>
                <w:color w:val="000000"/>
                <w:lang w:eastAsia="en-GB"/>
              </w:rPr>
              <w:t xml:space="preserve">to oversee </w:t>
            </w:r>
            <w:r w:rsidRPr="00AF3F69">
              <w:rPr>
                <w:rFonts w:ascii="Arial" w:eastAsia="Times New Roman" w:hAnsi="Arial" w:cs="Arial"/>
                <w:color w:val="000000"/>
                <w:lang w:eastAsia="en-GB"/>
              </w:rPr>
              <w:t>schools' financial management.</w:t>
            </w:r>
          </w:p>
        </w:tc>
        <w:tc>
          <w:tcPr>
            <w:tcW w:w="2976" w:type="dxa"/>
          </w:tcPr>
          <w:p w:rsidR="001C6943" w:rsidRPr="00AF3F69" w:rsidRDefault="001C6943" w:rsidP="001C6943">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Coverage of controls across the organisation</w:t>
            </w:r>
          </w:p>
        </w:tc>
      </w:tr>
      <w:tr w:rsidR="00AE4DDE" w:rsidRPr="00D01C2E" w:rsidTr="00160B5E">
        <w:trPr>
          <w:trHeight w:val="300"/>
        </w:trPr>
        <w:tc>
          <w:tcPr>
            <w:tcW w:w="2127" w:type="dxa"/>
            <w:tcBorders>
              <w:top w:val="single" w:sz="4" w:space="0" w:color="auto"/>
              <w:left w:val="single" w:sz="4" w:space="0" w:color="auto"/>
              <w:bottom w:val="nil"/>
              <w:right w:val="single" w:sz="4" w:space="0" w:color="auto"/>
            </w:tcBorders>
            <w:shd w:val="clear" w:color="auto" w:fill="auto"/>
            <w:noWrap/>
            <w:hideMark/>
          </w:tcPr>
          <w:p w:rsidR="00AE4DDE" w:rsidRPr="00D01C2E" w:rsidRDefault="00AE4DDE" w:rsidP="00AE4DDE">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A</w:t>
            </w:r>
            <w:r>
              <w:rPr>
                <w:rFonts w:ascii="Arial" w:eastAsia="Times New Roman" w:hAnsi="Arial" w:cs="Arial"/>
                <w:color w:val="000000"/>
                <w:lang w:eastAsia="en-GB"/>
              </w:rPr>
              <w:t>dult</w:t>
            </w:r>
            <w:r w:rsidRPr="00F568DF">
              <w:rPr>
                <w:rFonts w:ascii="Arial" w:eastAsia="Times New Roman" w:hAnsi="Arial" w:cs="Arial"/>
                <w:color w:val="000000"/>
                <w:lang w:eastAsia="en-GB"/>
              </w:rPr>
              <w:t>s</w:t>
            </w:r>
            <w:r>
              <w:rPr>
                <w:rFonts w:ascii="Arial" w:eastAsia="Times New Roman" w:hAnsi="Arial" w:cs="Arial"/>
                <w:color w:val="000000"/>
                <w:lang w:eastAsia="en-GB"/>
              </w:rPr>
              <w:t>'</w:t>
            </w:r>
            <w:r w:rsidRPr="00F568DF">
              <w:rPr>
                <w:rFonts w:ascii="Arial" w:eastAsia="Times New Roman" w:hAnsi="Arial" w:cs="Arial"/>
                <w:color w:val="000000"/>
                <w:lang w:eastAsia="en-GB"/>
              </w:rPr>
              <w:t xml:space="preserve"> services</w:t>
            </w:r>
          </w:p>
        </w:tc>
        <w:tc>
          <w:tcPr>
            <w:tcW w:w="3544" w:type="dxa"/>
            <w:tcBorders>
              <w:top w:val="single" w:sz="4" w:space="0" w:color="auto"/>
              <w:left w:val="single" w:sz="4" w:space="0" w:color="auto"/>
              <w:bottom w:val="single" w:sz="4" w:space="0" w:color="auto"/>
              <w:right w:val="single" w:sz="4" w:space="0" w:color="auto"/>
            </w:tcBorders>
          </w:tcPr>
          <w:p w:rsidR="00AE4DDE" w:rsidRPr="00AE4DDE" w:rsidRDefault="00AE4DDE" w:rsidP="00AE4DDE">
            <w:pPr>
              <w:spacing w:before="60" w:after="60" w:line="240" w:lineRule="auto"/>
              <w:rPr>
                <w:rFonts w:ascii="Arial" w:eastAsia="Times New Roman" w:hAnsi="Arial" w:cs="Arial"/>
                <w:lang w:eastAsia="en-GB"/>
              </w:rPr>
            </w:pPr>
            <w:r w:rsidRPr="00AE4DDE">
              <w:rPr>
                <w:rFonts w:ascii="Arial" w:eastAsia="Times New Roman" w:hAnsi="Arial" w:cs="Arial"/>
                <w:lang w:eastAsia="en-GB"/>
              </w:rPr>
              <w:t xml:space="preserve">Data held on LAS (Lancashire Adult Services system provided by </w:t>
            </w:r>
            <w:proofErr w:type="spellStart"/>
            <w:r w:rsidRPr="00AE4DDE">
              <w:rPr>
                <w:rFonts w:ascii="Arial" w:eastAsia="Times New Roman" w:hAnsi="Arial" w:cs="Arial"/>
                <w:lang w:eastAsia="en-GB"/>
              </w:rPr>
              <w:t>Liquidlogic</w:t>
            </w:r>
            <w:proofErr w:type="spellEnd"/>
            <w:r w:rsidRPr="00AE4DDE">
              <w:rPr>
                <w:rFonts w:ascii="Arial" w:eastAsia="Times New Roman" w:hAnsi="Arial" w:cs="Arial"/>
                <w:lang w:eastAsia="en-GB"/>
              </w:rPr>
              <w:t>)</w:t>
            </w:r>
          </w:p>
        </w:tc>
        <w:tc>
          <w:tcPr>
            <w:tcW w:w="5812" w:type="dxa"/>
            <w:tcBorders>
              <w:top w:val="single" w:sz="4" w:space="0" w:color="auto"/>
              <w:left w:val="single" w:sz="4" w:space="0" w:color="auto"/>
              <w:bottom w:val="single" w:sz="4" w:space="0" w:color="auto"/>
              <w:right w:val="single" w:sz="4" w:space="0" w:color="auto"/>
            </w:tcBorders>
            <w:shd w:val="clear" w:color="auto" w:fill="auto"/>
            <w:noWrap/>
          </w:tcPr>
          <w:p w:rsidR="00AE4DDE" w:rsidRPr="00AE4DDE" w:rsidRDefault="009A28AD" w:rsidP="00AE4DDE">
            <w:pPr>
              <w:spacing w:before="60" w:after="60" w:line="240" w:lineRule="auto"/>
              <w:rPr>
                <w:rFonts w:ascii="Arial" w:eastAsia="Times New Roman" w:hAnsi="Arial" w:cs="Arial"/>
                <w:lang w:eastAsia="en-GB"/>
              </w:rPr>
            </w:pPr>
            <w:r>
              <w:rPr>
                <w:rFonts w:ascii="Arial" w:eastAsia="Times New Roman" w:hAnsi="Arial" w:cs="Arial"/>
                <w:lang w:eastAsia="en-GB"/>
              </w:rPr>
              <w:t>Compliance testing of the completeness and accuracy of the data records held on LAS.</w:t>
            </w:r>
          </w:p>
        </w:tc>
        <w:tc>
          <w:tcPr>
            <w:tcW w:w="2976" w:type="dxa"/>
            <w:tcBorders>
              <w:top w:val="single" w:sz="4" w:space="0" w:color="auto"/>
              <w:left w:val="single" w:sz="4" w:space="0" w:color="auto"/>
              <w:bottom w:val="single" w:sz="4" w:space="0" w:color="auto"/>
              <w:right w:val="single" w:sz="4" w:space="0" w:color="auto"/>
            </w:tcBorders>
          </w:tcPr>
          <w:p w:rsidR="00AE4DDE" w:rsidRPr="00AE4DDE" w:rsidRDefault="00AE4DDE" w:rsidP="00AE4DDE">
            <w:pPr>
              <w:spacing w:before="60" w:after="60" w:line="240" w:lineRule="auto"/>
              <w:rPr>
                <w:rFonts w:ascii="Arial" w:eastAsia="Times New Roman" w:hAnsi="Arial" w:cs="Arial"/>
                <w:lang w:eastAsia="en-GB"/>
              </w:rPr>
            </w:pPr>
            <w:r w:rsidRPr="00AE4DDE">
              <w:rPr>
                <w:rFonts w:ascii="Arial" w:eastAsia="Times New Roman" w:hAnsi="Arial" w:cs="Arial"/>
                <w:lang w:eastAsia="en-GB"/>
              </w:rPr>
              <w:t>Controls to mitigate a significant risk</w:t>
            </w:r>
          </w:p>
        </w:tc>
      </w:tr>
      <w:tr w:rsidR="00EC2FCF" w:rsidRPr="00EC2FCF" w:rsidTr="00EC2FCF">
        <w:trPr>
          <w:trHeight w:val="300"/>
        </w:trPr>
        <w:tc>
          <w:tcPr>
            <w:tcW w:w="2127" w:type="dxa"/>
            <w:tcBorders>
              <w:top w:val="nil"/>
              <w:bottom w:val="nil"/>
            </w:tcBorders>
            <w:shd w:val="clear" w:color="auto" w:fill="auto"/>
            <w:noWrap/>
          </w:tcPr>
          <w:p w:rsidR="00EC2FCF" w:rsidRPr="00EC2FCF" w:rsidRDefault="00EC2FCF" w:rsidP="001E74A8">
            <w:pPr>
              <w:spacing w:before="60" w:after="60" w:line="240" w:lineRule="auto"/>
              <w:rPr>
                <w:rFonts w:ascii="Arial" w:eastAsia="Times New Roman" w:hAnsi="Arial" w:cs="Arial"/>
                <w:lang w:eastAsia="en-GB"/>
              </w:rPr>
            </w:pPr>
          </w:p>
        </w:tc>
        <w:tc>
          <w:tcPr>
            <w:tcW w:w="3544" w:type="dxa"/>
            <w:tcBorders>
              <w:top w:val="single" w:sz="4" w:space="0" w:color="auto"/>
            </w:tcBorders>
          </w:tcPr>
          <w:p w:rsidR="00EC2FCF" w:rsidRPr="00EC2FCF" w:rsidRDefault="00EC2FCF" w:rsidP="001E74A8">
            <w:pPr>
              <w:spacing w:before="60" w:after="60" w:line="240" w:lineRule="auto"/>
              <w:rPr>
                <w:rFonts w:ascii="Arial" w:eastAsia="Times New Roman" w:hAnsi="Arial" w:cs="Arial"/>
                <w:lang w:eastAsia="en-GB"/>
              </w:rPr>
            </w:pPr>
            <w:r w:rsidRPr="00EC2FCF">
              <w:rPr>
                <w:rFonts w:ascii="Arial" w:eastAsia="Times New Roman" w:hAnsi="Arial" w:cs="Arial"/>
                <w:lang w:eastAsia="en-GB"/>
              </w:rPr>
              <w:t>Case management: supervision and support to front-line social workers to ensure safeguarding of service users</w:t>
            </w:r>
          </w:p>
        </w:tc>
        <w:tc>
          <w:tcPr>
            <w:tcW w:w="5812" w:type="dxa"/>
            <w:tcBorders>
              <w:top w:val="single" w:sz="4" w:space="0" w:color="auto"/>
            </w:tcBorders>
            <w:shd w:val="clear" w:color="auto" w:fill="auto"/>
            <w:noWrap/>
          </w:tcPr>
          <w:p w:rsidR="00EC2FCF" w:rsidRPr="00EC2FCF" w:rsidRDefault="00EC2FCF" w:rsidP="001E74A8">
            <w:pPr>
              <w:spacing w:before="60" w:after="60" w:line="240" w:lineRule="auto"/>
              <w:rPr>
                <w:rFonts w:ascii="Arial" w:eastAsia="Times New Roman" w:hAnsi="Arial" w:cs="Arial"/>
                <w:lang w:eastAsia="en-GB"/>
              </w:rPr>
            </w:pPr>
            <w:r w:rsidRPr="00EC2FCF">
              <w:rPr>
                <w:rFonts w:ascii="Arial" w:eastAsia="Times New Roman" w:hAnsi="Arial" w:cs="Arial"/>
                <w:lang w:eastAsia="en-GB"/>
              </w:rPr>
              <w:t>Risk and control evaluation of supervision and support arrangements under the new team management arrangements, with full compliance testing.</w:t>
            </w:r>
          </w:p>
        </w:tc>
        <w:tc>
          <w:tcPr>
            <w:tcW w:w="2976" w:type="dxa"/>
            <w:tcBorders>
              <w:top w:val="single" w:sz="4" w:space="0" w:color="auto"/>
            </w:tcBorders>
          </w:tcPr>
          <w:p w:rsidR="00EC2FCF" w:rsidRPr="00EC2FCF" w:rsidRDefault="00EC2FCF" w:rsidP="001E74A8">
            <w:pPr>
              <w:spacing w:before="60" w:after="60" w:line="240" w:lineRule="auto"/>
              <w:rPr>
                <w:rFonts w:ascii="Arial" w:eastAsia="Times New Roman" w:hAnsi="Arial" w:cs="Arial"/>
                <w:lang w:eastAsia="en-GB"/>
              </w:rPr>
            </w:pPr>
            <w:r w:rsidRPr="00EC2FCF">
              <w:rPr>
                <w:rFonts w:ascii="Arial" w:eastAsia="Times New Roman" w:hAnsi="Arial" w:cs="Arial"/>
                <w:lang w:eastAsia="en-GB"/>
              </w:rPr>
              <w:t>Controls to mitigate significant risks in a number of individual instances</w:t>
            </w:r>
          </w:p>
        </w:tc>
      </w:tr>
      <w:tr w:rsidR="00EC2FCF" w:rsidRPr="00D01C2E" w:rsidTr="001E74A8">
        <w:trPr>
          <w:trHeight w:val="300"/>
        </w:trPr>
        <w:tc>
          <w:tcPr>
            <w:tcW w:w="2127" w:type="dxa"/>
            <w:tcBorders>
              <w:top w:val="nil"/>
              <w:bottom w:val="nil"/>
            </w:tcBorders>
            <w:shd w:val="clear" w:color="auto" w:fill="auto"/>
            <w:noWrap/>
          </w:tcPr>
          <w:p w:rsidR="00EC2FCF" w:rsidRPr="00D01C2E" w:rsidRDefault="00EC2FCF" w:rsidP="001E74A8">
            <w:pPr>
              <w:spacing w:before="60" w:after="60" w:line="240" w:lineRule="auto"/>
              <w:rPr>
                <w:rFonts w:ascii="Arial" w:eastAsia="Times New Roman" w:hAnsi="Arial" w:cs="Arial"/>
                <w:color w:val="000000"/>
                <w:lang w:eastAsia="en-GB"/>
              </w:rPr>
            </w:pPr>
          </w:p>
        </w:tc>
        <w:tc>
          <w:tcPr>
            <w:tcW w:w="3544" w:type="dxa"/>
            <w:tcBorders>
              <w:top w:val="single" w:sz="4" w:space="0" w:color="auto"/>
              <w:bottom w:val="single" w:sz="4" w:space="0" w:color="auto"/>
            </w:tcBorders>
          </w:tcPr>
          <w:p w:rsidR="00EC2FCF" w:rsidRPr="00B36F70" w:rsidRDefault="00EC2FCF" w:rsidP="001E74A8">
            <w:pPr>
              <w:spacing w:before="60" w:after="60" w:line="240" w:lineRule="auto"/>
              <w:rPr>
                <w:rFonts w:ascii="Arial" w:eastAsia="Times New Roman" w:hAnsi="Arial" w:cs="Arial"/>
                <w:lang w:eastAsia="en-GB"/>
              </w:rPr>
            </w:pPr>
            <w:r w:rsidRPr="00B36F70">
              <w:rPr>
                <w:rFonts w:ascii="Arial" w:eastAsia="Times New Roman" w:hAnsi="Arial" w:cs="Arial"/>
                <w:lang w:eastAsia="en-GB"/>
              </w:rPr>
              <w:t>Case management: assignment of officers to cases</w:t>
            </w:r>
          </w:p>
        </w:tc>
        <w:tc>
          <w:tcPr>
            <w:tcW w:w="5812" w:type="dxa"/>
            <w:tcBorders>
              <w:top w:val="single" w:sz="4" w:space="0" w:color="auto"/>
              <w:bottom w:val="single" w:sz="4" w:space="0" w:color="auto"/>
            </w:tcBorders>
            <w:shd w:val="clear" w:color="auto" w:fill="auto"/>
            <w:noWrap/>
          </w:tcPr>
          <w:p w:rsidR="00EC2FCF" w:rsidRPr="00B36F70" w:rsidRDefault="00EC2FCF" w:rsidP="001E74A8">
            <w:pPr>
              <w:spacing w:before="60" w:after="60" w:line="240" w:lineRule="auto"/>
              <w:rPr>
                <w:rFonts w:ascii="Arial" w:eastAsia="Times New Roman" w:hAnsi="Arial" w:cs="Arial"/>
                <w:lang w:eastAsia="en-GB"/>
              </w:rPr>
            </w:pPr>
            <w:r w:rsidRPr="00B36F70">
              <w:rPr>
                <w:rFonts w:ascii="Arial" w:eastAsia="Times New Roman" w:hAnsi="Arial" w:cs="Arial"/>
                <w:lang w:eastAsia="en-GB"/>
              </w:rPr>
              <w:t>Risk and control evaluation of assignment of cases and workloads, with compliance testing following implementation of new team working arrangements.</w:t>
            </w:r>
          </w:p>
        </w:tc>
        <w:tc>
          <w:tcPr>
            <w:tcW w:w="2976" w:type="dxa"/>
            <w:tcBorders>
              <w:top w:val="single" w:sz="4" w:space="0" w:color="auto"/>
              <w:bottom w:val="single" w:sz="4" w:space="0" w:color="auto"/>
            </w:tcBorders>
          </w:tcPr>
          <w:p w:rsidR="00EC2FCF" w:rsidRPr="00B36F70" w:rsidRDefault="00EC2FCF" w:rsidP="001E74A8">
            <w:pPr>
              <w:spacing w:before="60" w:after="60" w:line="240" w:lineRule="auto"/>
              <w:rPr>
                <w:rFonts w:ascii="Arial" w:eastAsia="Times New Roman" w:hAnsi="Arial" w:cs="Arial"/>
                <w:lang w:eastAsia="en-GB"/>
              </w:rPr>
            </w:pPr>
            <w:r w:rsidRPr="00B36F70">
              <w:rPr>
                <w:rFonts w:ascii="Arial" w:eastAsia="Times New Roman" w:hAnsi="Arial" w:cs="Arial"/>
                <w:lang w:eastAsia="en-GB"/>
              </w:rPr>
              <w:t>Controls to mitigate significant risks in a number of individual instances</w:t>
            </w:r>
          </w:p>
        </w:tc>
      </w:tr>
      <w:tr w:rsidR="00AE4DDE" w:rsidRPr="00D01C2E" w:rsidTr="00B36F70">
        <w:trPr>
          <w:trHeight w:val="300"/>
        </w:trPr>
        <w:tc>
          <w:tcPr>
            <w:tcW w:w="2127" w:type="dxa"/>
            <w:tcBorders>
              <w:top w:val="nil"/>
              <w:bottom w:val="nil"/>
            </w:tcBorders>
            <w:shd w:val="clear" w:color="auto" w:fill="auto"/>
            <w:noWrap/>
          </w:tcPr>
          <w:p w:rsidR="00AE4DDE" w:rsidRPr="00D01C2E" w:rsidRDefault="00AE4DDE" w:rsidP="00AE4DDE">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AE4DDE" w:rsidRPr="00EC2FCF" w:rsidRDefault="00AE4DDE" w:rsidP="00AE4DDE">
            <w:pPr>
              <w:spacing w:before="60" w:after="60" w:line="240" w:lineRule="auto"/>
              <w:rPr>
                <w:rFonts w:ascii="Arial" w:eastAsia="Times New Roman" w:hAnsi="Arial" w:cs="Arial"/>
                <w:lang w:eastAsia="en-GB"/>
              </w:rPr>
            </w:pPr>
            <w:r w:rsidRPr="00EC2FCF">
              <w:rPr>
                <w:rFonts w:ascii="Arial" w:eastAsia="Times New Roman" w:hAnsi="Arial" w:cs="Arial"/>
                <w:lang w:eastAsia="en-GB"/>
              </w:rPr>
              <w:t>Case management: timely completion of action to statutory and advisory deadlines</w:t>
            </w:r>
          </w:p>
        </w:tc>
        <w:tc>
          <w:tcPr>
            <w:tcW w:w="5812" w:type="dxa"/>
            <w:tcBorders>
              <w:bottom w:val="single" w:sz="4" w:space="0" w:color="auto"/>
            </w:tcBorders>
            <w:shd w:val="clear" w:color="auto" w:fill="auto"/>
            <w:noWrap/>
          </w:tcPr>
          <w:p w:rsidR="00AE4DDE" w:rsidRPr="00EC2FCF" w:rsidRDefault="009A28AD" w:rsidP="00B36F70">
            <w:pPr>
              <w:spacing w:before="60" w:after="60" w:line="240" w:lineRule="auto"/>
              <w:rPr>
                <w:rFonts w:ascii="Arial" w:eastAsia="Times New Roman" w:hAnsi="Arial" w:cs="Arial"/>
                <w:lang w:eastAsia="en-GB"/>
              </w:rPr>
            </w:pPr>
            <w:r>
              <w:rPr>
                <w:rFonts w:ascii="Arial" w:eastAsia="Times New Roman" w:hAnsi="Arial" w:cs="Arial"/>
                <w:lang w:eastAsia="en-GB"/>
              </w:rPr>
              <w:t>Compliance testing of the timeliness of case management action against the deadlines set in legislation and the council's policies.</w:t>
            </w:r>
          </w:p>
        </w:tc>
        <w:tc>
          <w:tcPr>
            <w:tcW w:w="2976" w:type="dxa"/>
            <w:tcBorders>
              <w:bottom w:val="single" w:sz="4" w:space="0" w:color="auto"/>
            </w:tcBorders>
          </w:tcPr>
          <w:p w:rsidR="00AE4DDE" w:rsidRPr="00EC2FCF" w:rsidRDefault="00AE4DDE" w:rsidP="00AE4DDE">
            <w:pPr>
              <w:spacing w:before="60" w:after="60" w:line="240" w:lineRule="auto"/>
              <w:rPr>
                <w:rFonts w:ascii="Arial" w:eastAsia="Times New Roman" w:hAnsi="Arial" w:cs="Arial"/>
                <w:lang w:eastAsia="en-GB"/>
              </w:rPr>
            </w:pPr>
            <w:r w:rsidRPr="00EC2FCF">
              <w:rPr>
                <w:rFonts w:ascii="Arial" w:eastAsia="Times New Roman" w:hAnsi="Arial" w:cs="Arial"/>
                <w:lang w:eastAsia="en-GB"/>
              </w:rPr>
              <w:t>Controls to mitigate significant risks in a number of individual instances</w:t>
            </w:r>
          </w:p>
        </w:tc>
      </w:tr>
      <w:tr w:rsidR="00AE4DDE" w:rsidRPr="00D01C2E" w:rsidTr="00B36F70">
        <w:trPr>
          <w:trHeight w:val="300"/>
        </w:trPr>
        <w:tc>
          <w:tcPr>
            <w:tcW w:w="2127" w:type="dxa"/>
            <w:tcBorders>
              <w:top w:val="nil"/>
              <w:bottom w:val="single" w:sz="4" w:space="0" w:color="auto"/>
            </w:tcBorders>
            <w:shd w:val="clear" w:color="auto" w:fill="auto"/>
            <w:noWrap/>
          </w:tcPr>
          <w:p w:rsidR="00AE4DDE" w:rsidRPr="00D01C2E" w:rsidRDefault="00AE4DDE" w:rsidP="00AE4DDE">
            <w:pPr>
              <w:spacing w:before="60" w:after="60" w:line="240" w:lineRule="auto"/>
              <w:rPr>
                <w:rFonts w:ascii="Arial" w:eastAsia="Times New Roman" w:hAnsi="Arial" w:cs="Arial"/>
                <w:color w:val="000000"/>
                <w:lang w:eastAsia="en-GB"/>
              </w:rPr>
            </w:pPr>
          </w:p>
        </w:tc>
        <w:tc>
          <w:tcPr>
            <w:tcW w:w="3544" w:type="dxa"/>
            <w:tcBorders>
              <w:top w:val="single" w:sz="4" w:space="0" w:color="auto"/>
              <w:bottom w:val="single" w:sz="4" w:space="0" w:color="auto"/>
            </w:tcBorders>
          </w:tcPr>
          <w:p w:rsidR="00AE4DDE" w:rsidRPr="00EC2FCF" w:rsidRDefault="00EC2FCF" w:rsidP="00AE4DDE">
            <w:pPr>
              <w:spacing w:before="60" w:after="60" w:line="240" w:lineRule="auto"/>
              <w:rPr>
                <w:rFonts w:ascii="Arial" w:eastAsia="Times New Roman" w:hAnsi="Arial" w:cs="Arial"/>
                <w:lang w:eastAsia="en-GB"/>
              </w:rPr>
            </w:pPr>
            <w:r w:rsidRPr="00EC2FCF">
              <w:rPr>
                <w:rFonts w:ascii="Arial" w:eastAsia="Times New Roman" w:hAnsi="Arial" w:cs="Arial"/>
                <w:lang w:eastAsia="en-GB"/>
              </w:rPr>
              <w:t>Delegation of responsibilities</w:t>
            </w:r>
            <w:r w:rsidR="00AE4DDE" w:rsidRPr="00EC2FCF">
              <w:rPr>
                <w:rFonts w:ascii="Arial" w:eastAsia="Times New Roman" w:hAnsi="Arial" w:cs="Arial"/>
                <w:lang w:eastAsia="en-GB"/>
              </w:rPr>
              <w:t xml:space="preserve"> to </w:t>
            </w:r>
            <w:r w:rsidRPr="00EC2FCF">
              <w:rPr>
                <w:rFonts w:ascii="Arial" w:eastAsia="Times New Roman" w:hAnsi="Arial" w:cs="Arial"/>
                <w:lang w:eastAsia="en-GB"/>
              </w:rPr>
              <w:t>accredited social workers.</w:t>
            </w:r>
          </w:p>
        </w:tc>
        <w:tc>
          <w:tcPr>
            <w:tcW w:w="5812" w:type="dxa"/>
            <w:tcBorders>
              <w:top w:val="single" w:sz="4" w:space="0" w:color="auto"/>
              <w:bottom w:val="single" w:sz="4" w:space="0" w:color="auto"/>
            </w:tcBorders>
            <w:shd w:val="clear" w:color="auto" w:fill="auto"/>
            <w:noWrap/>
          </w:tcPr>
          <w:p w:rsidR="00AE4DDE" w:rsidRPr="00EC2FCF" w:rsidRDefault="00EC2FCF" w:rsidP="00EC2FCF">
            <w:pPr>
              <w:spacing w:before="60" w:after="60" w:line="240" w:lineRule="auto"/>
              <w:rPr>
                <w:rFonts w:ascii="Arial" w:eastAsia="Times New Roman" w:hAnsi="Arial" w:cs="Arial"/>
                <w:lang w:eastAsia="en-GB"/>
              </w:rPr>
            </w:pPr>
            <w:r w:rsidRPr="00EC2FCF">
              <w:rPr>
                <w:rFonts w:ascii="Arial" w:eastAsia="Times New Roman" w:hAnsi="Arial" w:cs="Arial"/>
                <w:lang w:eastAsia="en-GB"/>
              </w:rPr>
              <w:t>Compliance testing of the accreditations awarded to social workers to facilitate their taking on enhanced responsibilities for case management decisions</w:t>
            </w:r>
            <w:r w:rsidR="00AE4DDE" w:rsidRPr="00EC2FCF">
              <w:rPr>
                <w:rFonts w:ascii="Arial" w:eastAsia="Times New Roman" w:hAnsi="Arial" w:cs="Arial"/>
                <w:lang w:eastAsia="en-GB"/>
              </w:rPr>
              <w:t>.</w:t>
            </w:r>
          </w:p>
        </w:tc>
        <w:tc>
          <w:tcPr>
            <w:tcW w:w="2976" w:type="dxa"/>
            <w:tcBorders>
              <w:top w:val="single" w:sz="4" w:space="0" w:color="auto"/>
              <w:bottom w:val="single" w:sz="4" w:space="0" w:color="auto"/>
            </w:tcBorders>
          </w:tcPr>
          <w:p w:rsidR="00AE4DDE" w:rsidRPr="00EC2FCF" w:rsidRDefault="00AE4DDE" w:rsidP="00AE4DDE">
            <w:pPr>
              <w:spacing w:before="60" w:after="60" w:line="240" w:lineRule="auto"/>
              <w:rPr>
                <w:rFonts w:ascii="Arial" w:eastAsia="Times New Roman" w:hAnsi="Arial" w:cs="Arial"/>
                <w:lang w:eastAsia="en-GB"/>
              </w:rPr>
            </w:pPr>
            <w:r w:rsidRPr="00EC2FCF">
              <w:rPr>
                <w:rFonts w:ascii="Arial" w:eastAsia="Times New Roman" w:hAnsi="Arial" w:cs="Arial"/>
                <w:lang w:eastAsia="en-GB"/>
              </w:rPr>
              <w:t>Coverage of controls across the organisation</w:t>
            </w:r>
          </w:p>
        </w:tc>
      </w:tr>
      <w:tr w:rsidR="00AE4DDE" w:rsidRPr="00D01C2E" w:rsidTr="00B20348">
        <w:trPr>
          <w:trHeight w:val="300"/>
        </w:trPr>
        <w:tc>
          <w:tcPr>
            <w:tcW w:w="2127" w:type="dxa"/>
            <w:tcBorders>
              <w:top w:val="single" w:sz="4" w:space="0" w:color="auto"/>
              <w:bottom w:val="nil"/>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P</w:t>
            </w:r>
            <w:r w:rsidRPr="00F568DF">
              <w:rPr>
                <w:rFonts w:ascii="Arial" w:eastAsia="Times New Roman" w:hAnsi="Arial" w:cs="Arial"/>
                <w:color w:val="000000"/>
                <w:lang w:eastAsia="en-GB"/>
              </w:rPr>
              <w:t>ublic health &amp; wellbeing services</w:t>
            </w:r>
          </w:p>
        </w:tc>
        <w:tc>
          <w:tcPr>
            <w:tcW w:w="3544" w:type="dxa"/>
            <w:tcBorders>
              <w:top w:val="nil"/>
              <w:bottom w:val="single" w:sz="4" w:space="0" w:color="auto"/>
            </w:tcBorders>
          </w:tcPr>
          <w:p w:rsidR="00AE4DDE" w:rsidRPr="005F0D8A"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Commissioning and oversight of commissioned public health service provision</w:t>
            </w:r>
          </w:p>
        </w:tc>
        <w:tc>
          <w:tcPr>
            <w:tcW w:w="5812" w:type="dxa"/>
            <w:tcBorders>
              <w:top w:val="nil"/>
              <w:bottom w:val="single" w:sz="4" w:space="0" w:color="auto"/>
            </w:tcBorders>
            <w:shd w:val="clear" w:color="auto" w:fill="auto"/>
            <w:noWrap/>
            <w:hideMark/>
          </w:tcPr>
          <w:p w:rsidR="00AE4DDE" w:rsidRPr="00F568DF"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Risk and control evaluation of joint working with the NHS and voluntary sector to provide services within Lancashire.</w:t>
            </w:r>
          </w:p>
        </w:tc>
        <w:tc>
          <w:tcPr>
            <w:tcW w:w="2976" w:type="dxa"/>
            <w:tcBorders>
              <w:top w:val="nil"/>
              <w:bottom w:val="single" w:sz="4" w:space="0" w:color="auto"/>
            </w:tcBorders>
          </w:tcPr>
          <w:p w:rsidR="00AE4DDE" w:rsidRPr="00F568DF"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Coverage of controls across the organisation</w:t>
            </w:r>
          </w:p>
        </w:tc>
      </w:tr>
      <w:tr w:rsidR="00AE4DDE" w:rsidRPr="00D01C2E" w:rsidTr="00B20348">
        <w:trPr>
          <w:trHeight w:val="300"/>
        </w:trPr>
        <w:tc>
          <w:tcPr>
            <w:tcW w:w="2127" w:type="dxa"/>
            <w:tcBorders>
              <w:top w:val="nil"/>
              <w:bottom w:val="dashSmallGap" w:sz="4" w:space="0" w:color="auto"/>
            </w:tcBorders>
            <w:shd w:val="clear" w:color="auto" w:fill="auto"/>
            <w:noWrap/>
          </w:tcPr>
          <w:p w:rsidR="00AE4DDE" w:rsidRPr="00D01C2E" w:rsidRDefault="00AE4DDE" w:rsidP="00C15CF0">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AE4DDE" w:rsidRPr="005F0D8A" w:rsidRDefault="00AE4DDE" w:rsidP="00AE4DDE">
            <w:pPr>
              <w:spacing w:before="60" w:after="60" w:line="240" w:lineRule="auto"/>
              <w:rPr>
                <w:rFonts w:ascii="Arial" w:eastAsia="Times New Roman" w:hAnsi="Arial" w:cs="Arial"/>
                <w:color w:val="000000"/>
                <w:lang w:eastAsia="en-GB"/>
              </w:rPr>
            </w:pPr>
            <w:r w:rsidRPr="005F0D8A">
              <w:rPr>
                <w:rFonts w:ascii="Arial" w:eastAsia="Times New Roman" w:hAnsi="Arial" w:cs="Arial"/>
                <w:color w:val="000000"/>
                <w:lang w:eastAsia="en-GB"/>
              </w:rPr>
              <w:t>Operation of</w:t>
            </w:r>
            <w:r>
              <w:rPr>
                <w:rFonts w:ascii="Arial" w:eastAsia="Times New Roman" w:hAnsi="Arial" w:cs="Arial"/>
                <w:color w:val="000000"/>
                <w:lang w:eastAsia="en-GB"/>
              </w:rPr>
              <w:t xml:space="preserve"> the Health and Wellbeing Board</w:t>
            </w:r>
          </w:p>
        </w:tc>
        <w:tc>
          <w:tcPr>
            <w:tcW w:w="5812" w:type="dxa"/>
            <w:tcBorders>
              <w:bottom w:val="dashSmallGap" w:sz="4" w:space="0" w:color="auto"/>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Assessment </w:t>
            </w:r>
            <w:r w:rsidRPr="00D01C2E">
              <w:rPr>
                <w:rFonts w:ascii="Arial" w:eastAsia="Times New Roman" w:hAnsi="Arial" w:cs="Arial"/>
                <w:color w:val="000000"/>
                <w:lang w:eastAsia="en-GB"/>
              </w:rPr>
              <w:t xml:space="preserve">of the constitution and operation of the </w:t>
            </w:r>
            <w:r>
              <w:rPr>
                <w:rFonts w:ascii="Arial" w:eastAsia="Times New Roman" w:hAnsi="Arial" w:cs="Arial"/>
                <w:color w:val="000000"/>
                <w:lang w:eastAsia="en-GB"/>
              </w:rPr>
              <w:t>Board</w:t>
            </w:r>
            <w:r w:rsidRPr="00D01C2E">
              <w:rPr>
                <w:rFonts w:ascii="Arial" w:eastAsia="Times New Roman" w:hAnsi="Arial" w:cs="Arial"/>
                <w:color w:val="000000"/>
                <w:lang w:eastAsia="en-GB"/>
              </w:rPr>
              <w:t xml:space="preserve"> against professional guidance</w:t>
            </w:r>
            <w:r>
              <w:rPr>
                <w:rFonts w:ascii="Arial" w:eastAsia="Times New Roman" w:hAnsi="Arial" w:cs="Arial"/>
                <w:color w:val="000000"/>
                <w:lang w:eastAsia="en-GB"/>
              </w:rPr>
              <w:t>, local requirements</w:t>
            </w:r>
            <w:r w:rsidRPr="00D01C2E">
              <w:rPr>
                <w:rFonts w:ascii="Arial" w:eastAsia="Times New Roman" w:hAnsi="Arial" w:cs="Arial"/>
                <w:color w:val="000000"/>
                <w:lang w:eastAsia="en-GB"/>
              </w:rPr>
              <w:t xml:space="preserve"> and </w:t>
            </w:r>
            <w:r>
              <w:rPr>
                <w:rFonts w:ascii="Arial" w:eastAsia="Times New Roman" w:hAnsi="Arial" w:cs="Arial"/>
                <w:color w:val="000000"/>
                <w:lang w:eastAsia="en-GB"/>
              </w:rPr>
              <w:t>current best</w:t>
            </w:r>
            <w:r w:rsidR="00C15CF0">
              <w:rPr>
                <w:rFonts w:ascii="Arial" w:eastAsia="Times New Roman" w:hAnsi="Arial" w:cs="Arial"/>
                <w:color w:val="000000"/>
                <w:lang w:eastAsia="en-GB"/>
              </w:rPr>
              <w:t xml:space="preserve"> practice,</w:t>
            </w:r>
          </w:p>
        </w:tc>
        <w:tc>
          <w:tcPr>
            <w:tcW w:w="2976" w:type="dxa"/>
            <w:tcBorders>
              <w:bottom w:val="single" w:sz="4" w:space="0" w:color="auto"/>
            </w:tcBorders>
          </w:tcPr>
          <w:p w:rsidR="00AE4DD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Coverage of controls across the organisation</w:t>
            </w:r>
          </w:p>
        </w:tc>
      </w:tr>
      <w:tr w:rsidR="00AE4DDE" w:rsidRPr="00D01C2E" w:rsidTr="00B20348">
        <w:trPr>
          <w:trHeight w:val="300"/>
        </w:trPr>
        <w:tc>
          <w:tcPr>
            <w:tcW w:w="2127" w:type="dxa"/>
            <w:tcBorders>
              <w:top w:val="dashSmallGap" w:sz="4" w:space="0" w:color="auto"/>
              <w:left w:val="single" w:sz="4" w:space="0" w:color="auto"/>
              <w:bottom w:val="single" w:sz="4" w:space="0" w:color="auto"/>
              <w:right w:val="single" w:sz="4" w:space="0" w:color="auto"/>
            </w:tcBorders>
            <w:shd w:val="clear" w:color="auto" w:fill="auto"/>
            <w:noWrap/>
          </w:tcPr>
          <w:p w:rsidR="00AE4DDE" w:rsidRPr="00D01C2E" w:rsidRDefault="00C15CF0"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with </w:t>
            </w:r>
            <w:r w:rsidR="00037139">
              <w:rPr>
                <w:rFonts w:ascii="Arial" w:eastAsia="Times New Roman" w:hAnsi="Arial" w:cs="Arial"/>
                <w:color w:val="000000"/>
                <w:lang w:eastAsia="en-GB"/>
              </w:rPr>
              <w:t>Corporate c</w:t>
            </w:r>
            <w:r>
              <w:rPr>
                <w:rFonts w:ascii="Arial" w:eastAsia="Times New Roman" w:hAnsi="Arial" w:cs="Arial"/>
                <w:color w:val="000000"/>
                <w:lang w:eastAsia="en-GB"/>
              </w:rPr>
              <w:t>ommissioning</w:t>
            </w:r>
          </w:p>
        </w:tc>
        <w:tc>
          <w:tcPr>
            <w:tcW w:w="3544" w:type="dxa"/>
            <w:tcBorders>
              <w:top w:val="nil"/>
              <w:left w:val="single" w:sz="4" w:space="0" w:color="auto"/>
              <w:bottom w:val="single" w:sz="4" w:space="0" w:color="auto"/>
              <w:right w:val="single" w:sz="4" w:space="0" w:color="auto"/>
            </w:tcBorders>
          </w:tcPr>
          <w:p w:rsidR="00AE4DDE" w:rsidRPr="005F0D8A" w:rsidRDefault="00AE4DDE" w:rsidP="00AE4DDE">
            <w:pPr>
              <w:spacing w:before="60" w:after="60" w:line="240" w:lineRule="auto"/>
              <w:rPr>
                <w:rFonts w:ascii="Arial" w:eastAsia="Times New Roman" w:hAnsi="Arial" w:cs="Arial"/>
                <w:color w:val="000000"/>
                <w:lang w:eastAsia="en-GB"/>
              </w:rPr>
            </w:pPr>
            <w:r w:rsidRPr="005F0D8A">
              <w:rPr>
                <w:rFonts w:ascii="Arial" w:eastAsia="Times New Roman" w:hAnsi="Arial" w:cs="Arial"/>
                <w:color w:val="000000"/>
                <w:lang w:eastAsia="en-GB"/>
              </w:rPr>
              <w:t>Operation of</w:t>
            </w:r>
            <w:r>
              <w:rPr>
                <w:rFonts w:ascii="Arial" w:eastAsia="Times New Roman" w:hAnsi="Arial" w:cs="Arial"/>
                <w:color w:val="000000"/>
                <w:lang w:eastAsia="en-GB"/>
              </w:rPr>
              <w:t xml:space="preserve"> the Better Care Fund</w:t>
            </w:r>
          </w:p>
        </w:tc>
        <w:tc>
          <w:tcPr>
            <w:tcW w:w="5812" w:type="dxa"/>
            <w:tcBorders>
              <w:top w:val="dashSmallGap" w:sz="4" w:space="0" w:color="auto"/>
              <w:left w:val="single" w:sz="4" w:space="0" w:color="auto"/>
              <w:bottom w:val="single" w:sz="4" w:space="0" w:color="auto"/>
              <w:right w:val="single" w:sz="4" w:space="0" w:color="auto"/>
            </w:tcBorders>
            <w:shd w:val="clear" w:color="auto" w:fill="auto"/>
            <w:noWrap/>
          </w:tcPr>
          <w:p w:rsidR="00AE4DDE" w:rsidRPr="00F568DF" w:rsidRDefault="00C15CF0" w:rsidP="00C15CF0">
            <w:pPr>
              <w:spacing w:before="60" w:after="60" w:line="240" w:lineRule="auto"/>
              <w:rPr>
                <w:rFonts w:ascii="Arial" w:eastAsia="Times New Roman" w:hAnsi="Arial" w:cs="Arial"/>
                <w:color w:val="000000"/>
                <w:lang w:eastAsia="en-GB"/>
              </w:rPr>
            </w:pPr>
            <w:proofErr w:type="gramStart"/>
            <w:r>
              <w:rPr>
                <w:rFonts w:ascii="Arial" w:eastAsia="Times New Roman" w:hAnsi="Arial" w:cs="Arial"/>
                <w:color w:val="000000"/>
                <w:lang w:eastAsia="en-GB"/>
              </w:rPr>
              <w:t>including</w:t>
            </w:r>
            <w:proofErr w:type="gramEnd"/>
            <w:r>
              <w:rPr>
                <w:rFonts w:ascii="Arial" w:eastAsia="Times New Roman" w:hAnsi="Arial" w:cs="Arial"/>
                <w:color w:val="000000"/>
                <w:lang w:eastAsia="en-GB"/>
              </w:rPr>
              <w:t xml:space="preserve"> a</w:t>
            </w:r>
            <w:r w:rsidR="00AE4DDE">
              <w:rPr>
                <w:rFonts w:ascii="Arial" w:eastAsia="Times New Roman" w:hAnsi="Arial" w:cs="Arial"/>
                <w:color w:val="000000"/>
                <w:lang w:eastAsia="en-GB"/>
              </w:rPr>
              <w:t xml:space="preserve">ssessment </w:t>
            </w:r>
            <w:r w:rsidR="00AE4DDE" w:rsidRPr="00D01C2E">
              <w:rPr>
                <w:rFonts w:ascii="Arial" w:eastAsia="Times New Roman" w:hAnsi="Arial" w:cs="Arial"/>
                <w:color w:val="000000"/>
                <w:lang w:eastAsia="en-GB"/>
              </w:rPr>
              <w:t xml:space="preserve">of the </w:t>
            </w:r>
            <w:r>
              <w:rPr>
                <w:rFonts w:ascii="Arial" w:eastAsia="Times New Roman" w:hAnsi="Arial" w:cs="Arial"/>
                <w:color w:val="000000"/>
                <w:lang w:eastAsia="en-GB"/>
              </w:rPr>
              <w:t xml:space="preserve">governance arrangements for the </w:t>
            </w:r>
            <w:r w:rsidR="00AE4DDE">
              <w:rPr>
                <w:rFonts w:ascii="Arial" w:eastAsia="Times New Roman" w:hAnsi="Arial" w:cs="Arial"/>
                <w:color w:val="000000"/>
                <w:lang w:eastAsia="en-GB"/>
              </w:rPr>
              <w:t>council's use of the Better Care Fund</w:t>
            </w:r>
            <w:r w:rsidR="00AE4DDE" w:rsidRPr="00D01C2E">
              <w:rPr>
                <w:rFonts w:ascii="Arial" w:eastAsia="Times New Roman" w:hAnsi="Arial" w:cs="Arial"/>
                <w:color w:val="000000"/>
                <w:lang w:eastAsia="en-GB"/>
              </w:rPr>
              <w:t>.</w:t>
            </w:r>
          </w:p>
        </w:tc>
        <w:tc>
          <w:tcPr>
            <w:tcW w:w="2976" w:type="dxa"/>
            <w:tcBorders>
              <w:top w:val="single" w:sz="4" w:space="0" w:color="auto"/>
              <w:left w:val="single" w:sz="4" w:space="0" w:color="auto"/>
              <w:bottom w:val="single" w:sz="4" w:space="0" w:color="auto"/>
              <w:right w:val="single" w:sz="4" w:space="0" w:color="auto"/>
            </w:tcBorders>
          </w:tcPr>
          <w:p w:rsidR="00AE4DDE" w:rsidRPr="00F568DF" w:rsidRDefault="00C15CF0"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Coverage of controls across the organisation</w:t>
            </w:r>
          </w:p>
        </w:tc>
      </w:tr>
      <w:tr w:rsidR="00F571CA" w:rsidRPr="00D01C2E" w:rsidTr="001E74A8">
        <w:trPr>
          <w:trHeight w:val="300"/>
        </w:trPr>
        <w:tc>
          <w:tcPr>
            <w:tcW w:w="2127" w:type="dxa"/>
            <w:tcBorders>
              <w:bottom w:val="nil"/>
            </w:tcBorders>
            <w:shd w:val="clear" w:color="auto" w:fill="auto"/>
            <w:noWrap/>
          </w:tcPr>
          <w:p w:rsidR="00F571CA" w:rsidRPr="005E074E" w:rsidRDefault="00F571CA" w:rsidP="001E74A8">
            <w:pPr>
              <w:spacing w:before="60" w:after="60" w:line="240" w:lineRule="auto"/>
              <w:rPr>
                <w:rFonts w:ascii="Arial" w:eastAsia="Times New Roman" w:hAnsi="Arial" w:cs="Arial"/>
                <w:lang w:eastAsia="en-GB"/>
              </w:rPr>
            </w:pPr>
            <w:r>
              <w:rPr>
                <w:rFonts w:ascii="Arial" w:eastAsia="Times New Roman" w:hAnsi="Arial" w:cs="Arial"/>
                <w:color w:val="000000"/>
                <w:lang w:eastAsia="en-GB"/>
              </w:rPr>
              <w:t>Corporate commissioning</w:t>
            </w:r>
          </w:p>
        </w:tc>
        <w:tc>
          <w:tcPr>
            <w:tcW w:w="3544" w:type="dxa"/>
            <w:tcBorders>
              <w:bottom w:val="single" w:sz="4" w:space="0" w:color="auto"/>
            </w:tcBorders>
          </w:tcPr>
          <w:p w:rsidR="00F571CA" w:rsidRDefault="00F571CA" w:rsidP="00313B2A">
            <w:pPr>
              <w:spacing w:before="60" w:after="60" w:line="240" w:lineRule="auto"/>
              <w:rPr>
                <w:rFonts w:ascii="Arial" w:eastAsia="Times New Roman" w:hAnsi="Arial" w:cs="Arial"/>
                <w:lang w:eastAsia="en-GB"/>
              </w:rPr>
            </w:pPr>
            <w:r w:rsidRPr="00D710AC">
              <w:rPr>
                <w:rFonts w:ascii="Arial" w:eastAsia="Times New Roman" w:hAnsi="Arial" w:cs="Arial"/>
                <w:lang w:eastAsia="en-GB"/>
              </w:rPr>
              <w:t xml:space="preserve">Commissioning, </w:t>
            </w:r>
            <w:r w:rsidR="00313B2A">
              <w:rPr>
                <w:rFonts w:ascii="Arial" w:eastAsia="Times New Roman" w:hAnsi="Arial" w:cs="Arial"/>
                <w:lang w:eastAsia="en-GB"/>
              </w:rPr>
              <w:t>design</w:t>
            </w:r>
            <w:r w:rsidRPr="00D710AC">
              <w:rPr>
                <w:rFonts w:ascii="Arial" w:eastAsia="Times New Roman" w:hAnsi="Arial" w:cs="Arial"/>
                <w:lang w:eastAsia="en-GB"/>
              </w:rPr>
              <w:t xml:space="preserve"> and monitoring of the capital programme</w:t>
            </w:r>
          </w:p>
        </w:tc>
        <w:tc>
          <w:tcPr>
            <w:tcW w:w="5812" w:type="dxa"/>
            <w:tcBorders>
              <w:bottom w:val="single" w:sz="4" w:space="0" w:color="auto"/>
            </w:tcBorders>
            <w:shd w:val="clear" w:color="auto" w:fill="auto"/>
            <w:noWrap/>
          </w:tcPr>
          <w:p w:rsidR="00F571CA" w:rsidRPr="005E074E" w:rsidRDefault="00690021" w:rsidP="00006A60">
            <w:pPr>
              <w:spacing w:before="60" w:after="60" w:line="240" w:lineRule="auto"/>
              <w:rPr>
                <w:rFonts w:ascii="Arial" w:eastAsia="Times New Roman" w:hAnsi="Arial" w:cs="Arial"/>
                <w:lang w:eastAsia="en-GB"/>
              </w:rPr>
            </w:pPr>
            <w:r>
              <w:rPr>
                <w:rFonts w:ascii="Arial" w:eastAsia="Times New Roman" w:hAnsi="Arial" w:cs="Arial"/>
                <w:lang w:eastAsia="en-GB"/>
              </w:rPr>
              <w:t xml:space="preserve">Risk and control evaluation of the revised procedures </w:t>
            </w:r>
            <w:r w:rsidR="00006A60">
              <w:rPr>
                <w:rFonts w:ascii="Arial" w:eastAsia="Times New Roman" w:hAnsi="Arial" w:cs="Arial"/>
                <w:lang w:eastAsia="en-GB"/>
              </w:rPr>
              <w:t xml:space="preserve">to oversee </w:t>
            </w:r>
            <w:r>
              <w:rPr>
                <w:rFonts w:ascii="Arial" w:eastAsia="Times New Roman" w:hAnsi="Arial" w:cs="Arial"/>
                <w:lang w:eastAsia="en-GB"/>
              </w:rPr>
              <w:t xml:space="preserve">the whole capital </w:t>
            </w:r>
            <w:r w:rsidR="003A1071">
              <w:rPr>
                <w:rFonts w:ascii="Arial" w:eastAsia="Times New Roman" w:hAnsi="Arial" w:cs="Arial"/>
                <w:lang w:eastAsia="en-GB"/>
              </w:rPr>
              <w:t xml:space="preserve">programme, including elements managed </w:t>
            </w:r>
            <w:r w:rsidR="00D56A67">
              <w:rPr>
                <w:rFonts w:ascii="Arial" w:eastAsia="Times New Roman" w:hAnsi="Arial" w:cs="Arial"/>
                <w:lang w:eastAsia="en-GB"/>
              </w:rPr>
              <w:t xml:space="preserve">by the council </w:t>
            </w:r>
            <w:r w:rsidR="003A1071">
              <w:rPr>
                <w:rFonts w:ascii="Arial" w:eastAsia="Times New Roman" w:hAnsi="Arial" w:cs="Arial"/>
                <w:lang w:eastAsia="en-GB"/>
              </w:rPr>
              <w:t>for the Lancashire Economic Partnership.</w:t>
            </w:r>
          </w:p>
        </w:tc>
        <w:tc>
          <w:tcPr>
            <w:tcW w:w="2976" w:type="dxa"/>
            <w:tcBorders>
              <w:bottom w:val="single" w:sz="4" w:space="0" w:color="auto"/>
            </w:tcBorders>
          </w:tcPr>
          <w:p w:rsidR="00F571CA" w:rsidRPr="005E074E" w:rsidRDefault="00690021" w:rsidP="001E74A8">
            <w:pPr>
              <w:spacing w:before="60" w:after="60" w:line="240" w:lineRule="auto"/>
              <w:rPr>
                <w:rFonts w:ascii="Arial" w:eastAsia="Times New Roman" w:hAnsi="Arial" w:cs="Arial"/>
                <w:lang w:eastAsia="en-GB"/>
              </w:rPr>
            </w:pPr>
            <w:r w:rsidRPr="00F571CA">
              <w:rPr>
                <w:rFonts w:ascii="Arial" w:eastAsia="Times New Roman" w:hAnsi="Arial" w:cs="Arial"/>
                <w:lang w:eastAsia="en-GB"/>
              </w:rPr>
              <w:t>Controls to mitigate a significant risk</w:t>
            </w:r>
          </w:p>
        </w:tc>
      </w:tr>
      <w:tr w:rsidR="00F571CA" w:rsidRPr="00D01C2E" w:rsidTr="007911A2">
        <w:trPr>
          <w:trHeight w:val="300"/>
        </w:trPr>
        <w:tc>
          <w:tcPr>
            <w:tcW w:w="2127" w:type="dxa"/>
            <w:tcBorders>
              <w:top w:val="nil"/>
              <w:left w:val="single" w:sz="4" w:space="0" w:color="auto"/>
              <w:bottom w:val="nil"/>
              <w:right w:val="single" w:sz="4" w:space="0" w:color="auto"/>
            </w:tcBorders>
            <w:shd w:val="clear" w:color="auto" w:fill="auto"/>
            <w:noWrap/>
          </w:tcPr>
          <w:p w:rsidR="00F571CA" w:rsidRPr="00F568DF" w:rsidRDefault="00F571CA" w:rsidP="001E74A8">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F571CA" w:rsidRPr="00F571CA" w:rsidRDefault="00F571CA" w:rsidP="001E74A8">
            <w:pPr>
              <w:spacing w:before="60" w:after="60" w:line="240" w:lineRule="auto"/>
              <w:rPr>
                <w:rFonts w:ascii="Arial" w:eastAsia="Times New Roman" w:hAnsi="Arial" w:cs="Arial"/>
                <w:lang w:eastAsia="en-GB"/>
              </w:rPr>
            </w:pPr>
            <w:r w:rsidRPr="00F571CA">
              <w:rPr>
                <w:rFonts w:ascii="Arial" w:eastAsia="Times New Roman" w:hAnsi="Arial" w:cs="Arial"/>
                <w:lang w:eastAsia="en-GB"/>
              </w:rPr>
              <w:t>Provision of school places</w:t>
            </w:r>
          </w:p>
        </w:tc>
        <w:tc>
          <w:tcPr>
            <w:tcW w:w="5812" w:type="dxa"/>
            <w:tcBorders>
              <w:top w:val="single" w:sz="4" w:space="0" w:color="auto"/>
              <w:left w:val="single" w:sz="4" w:space="0" w:color="auto"/>
              <w:bottom w:val="single" w:sz="4" w:space="0" w:color="auto"/>
              <w:right w:val="single" w:sz="4" w:space="0" w:color="auto"/>
            </w:tcBorders>
            <w:shd w:val="clear" w:color="auto" w:fill="auto"/>
            <w:noWrap/>
          </w:tcPr>
          <w:p w:rsidR="00F571CA" w:rsidRPr="00F571CA" w:rsidRDefault="00F571CA" w:rsidP="00B26F65">
            <w:pPr>
              <w:spacing w:before="60" w:after="60" w:line="240" w:lineRule="auto"/>
              <w:rPr>
                <w:rFonts w:ascii="Arial" w:eastAsia="Times New Roman" w:hAnsi="Arial" w:cs="Arial"/>
                <w:lang w:eastAsia="en-GB"/>
              </w:rPr>
            </w:pPr>
            <w:r w:rsidRPr="00F571CA">
              <w:rPr>
                <w:rFonts w:ascii="Arial" w:eastAsia="Times New Roman" w:hAnsi="Arial" w:cs="Arial"/>
                <w:lang w:eastAsia="en-GB"/>
              </w:rPr>
              <w:t xml:space="preserve">Risk and control evaluation of </w:t>
            </w:r>
            <w:r w:rsidR="00B26F65">
              <w:rPr>
                <w:rFonts w:ascii="Arial" w:eastAsia="Times New Roman" w:hAnsi="Arial" w:cs="Arial"/>
                <w:lang w:eastAsia="en-GB"/>
              </w:rPr>
              <w:t>the allocation of school places</w:t>
            </w:r>
            <w:r w:rsidRPr="00F571CA">
              <w:rPr>
                <w:rFonts w:ascii="Arial" w:eastAsia="Times New Roman" w:hAnsi="Arial" w:cs="Arial"/>
                <w:lang w:eastAsia="en-GB"/>
              </w:rPr>
              <w:t>.</w:t>
            </w:r>
          </w:p>
        </w:tc>
        <w:tc>
          <w:tcPr>
            <w:tcW w:w="2976" w:type="dxa"/>
            <w:tcBorders>
              <w:top w:val="single" w:sz="4" w:space="0" w:color="auto"/>
              <w:left w:val="single" w:sz="4" w:space="0" w:color="auto"/>
              <w:bottom w:val="single" w:sz="4" w:space="0" w:color="auto"/>
              <w:right w:val="single" w:sz="4" w:space="0" w:color="auto"/>
            </w:tcBorders>
          </w:tcPr>
          <w:p w:rsidR="00F571CA" w:rsidRPr="00F571CA" w:rsidRDefault="00F571CA" w:rsidP="001E74A8">
            <w:pPr>
              <w:spacing w:before="60" w:after="60" w:line="240" w:lineRule="auto"/>
              <w:rPr>
                <w:rFonts w:ascii="Arial" w:eastAsia="Times New Roman" w:hAnsi="Arial" w:cs="Arial"/>
                <w:lang w:eastAsia="en-GB"/>
              </w:rPr>
            </w:pPr>
            <w:r w:rsidRPr="00F571CA">
              <w:rPr>
                <w:rFonts w:ascii="Arial" w:eastAsia="Times New Roman" w:hAnsi="Arial" w:cs="Arial"/>
                <w:lang w:eastAsia="en-GB"/>
              </w:rPr>
              <w:t>Coverage of controls across the organisation</w:t>
            </w:r>
          </w:p>
        </w:tc>
      </w:tr>
      <w:tr w:rsidR="00F571CA" w:rsidRPr="00D01C2E" w:rsidTr="007911A2">
        <w:trPr>
          <w:trHeight w:val="300"/>
        </w:trPr>
        <w:tc>
          <w:tcPr>
            <w:tcW w:w="2127" w:type="dxa"/>
            <w:tcBorders>
              <w:top w:val="nil"/>
              <w:left w:val="single" w:sz="4" w:space="0" w:color="auto"/>
              <w:bottom w:val="single" w:sz="4" w:space="0" w:color="auto"/>
              <w:right w:val="single" w:sz="4" w:space="0" w:color="auto"/>
            </w:tcBorders>
            <w:shd w:val="clear" w:color="auto" w:fill="auto"/>
            <w:noWrap/>
          </w:tcPr>
          <w:p w:rsidR="00F571CA" w:rsidRPr="00D01C2E" w:rsidRDefault="00F571CA" w:rsidP="001E74A8">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F571CA" w:rsidRPr="00F571CA" w:rsidRDefault="00F571CA" w:rsidP="00D56A67">
            <w:pPr>
              <w:spacing w:before="60" w:after="60" w:line="240" w:lineRule="auto"/>
              <w:rPr>
                <w:rFonts w:ascii="Arial" w:eastAsia="Times New Roman" w:hAnsi="Arial" w:cs="Arial"/>
                <w:lang w:eastAsia="en-GB"/>
              </w:rPr>
            </w:pPr>
            <w:r w:rsidRPr="00F571CA">
              <w:rPr>
                <w:rFonts w:ascii="Arial" w:eastAsia="Times New Roman" w:hAnsi="Arial" w:cs="Arial"/>
                <w:lang w:eastAsia="en-GB"/>
              </w:rPr>
              <w:t>Operation of the Premises Compliance Team in strategic premises management</w:t>
            </w:r>
          </w:p>
        </w:tc>
        <w:tc>
          <w:tcPr>
            <w:tcW w:w="5812" w:type="dxa"/>
            <w:tcBorders>
              <w:top w:val="single" w:sz="4" w:space="0" w:color="auto"/>
              <w:left w:val="single" w:sz="4" w:space="0" w:color="auto"/>
              <w:bottom w:val="single" w:sz="4" w:space="0" w:color="auto"/>
              <w:right w:val="single" w:sz="4" w:space="0" w:color="auto"/>
            </w:tcBorders>
            <w:shd w:val="clear" w:color="auto" w:fill="auto"/>
            <w:noWrap/>
          </w:tcPr>
          <w:p w:rsidR="00F571CA" w:rsidRPr="00F571CA" w:rsidRDefault="00F571CA" w:rsidP="00D56A67">
            <w:pPr>
              <w:spacing w:before="60" w:after="60" w:line="240" w:lineRule="auto"/>
              <w:rPr>
                <w:rFonts w:ascii="Arial" w:eastAsia="Times New Roman" w:hAnsi="Arial" w:cs="Arial"/>
                <w:lang w:eastAsia="en-GB"/>
              </w:rPr>
            </w:pPr>
            <w:r w:rsidRPr="00F571CA">
              <w:rPr>
                <w:rFonts w:ascii="Arial" w:eastAsia="Times New Roman" w:hAnsi="Arial" w:cs="Arial"/>
                <w:lang w:eastAsia="en-GB"/>
              </w:rPr>
              <w:t xml:space="preserve">Assessment of risk </w:t>
            </w:r>
            <w:r w:rsidR="00D56A67">
              <w:rPr>
                <w:rFonts w:ascii="Arial" w:eastAsia="Times New Roman" w:hAnsi="Arial" w:cs="Arial"/>
                <w:lang w:eastAsia="en-GB"/>
              </w:rPr>
              <w:t>and controls</w:t>
            </w:r>
            <w:r w:rsidRPr="00F571CA">
              <w:rPr>
                <w:rFonts w:ascii="Arial" w:eastAsia="Times New Roman" w:hAnsi="Arial" w:cs="Arial"/>
                <w:lang w:eastAsia="en-GB"/>
              </w:rPr>
              <w:t xml:space="preserve"> in relation to the council's property assets.</w:t>
            </w:r>
          </w:p>
        </w:tc>
        <w:tc>
          <w:tcPr>
            <w:tcW w:w="2976" w:type="dxa"/>
            <w:tcBorders>
              <w:top w:val="single" w:sz="4" w:space="0" w:color="auto"/>
              <w:left w:val="single" w:sz="4" w:space="0" w:color="auto"/>
              <w:bottom w:val="single" w:sz="4" w:space="0" w:color="auto"/>
              <w:right w:val="single" w:sz="4" w:space="0" w:color="auto"/>
            </w:tcBorders>
          </w:tcPr>
          <w:p w:rsidR="00F571CA" w:rsidRPr="00F571CA" w:rsidRDefault="00D56A67" w:rsidP="001E74A8">
            <w:pPr>
              <w:spacing w:before="60" w:after="60" w:line="240" w:lineRule="auto"/>
              <w:rPr>
                <w:rFonts w:ascii="Arial" w:eastAsia="Times New Roman" w:hAnsi="Arial" w:cs="Arial"/>
                <w:lang w:eastAsia="en-GB"/>
              </w:rPr>
            </w:pPr>
            <w:r>
              <w:rPr>
                <w:rFonts w:ascii="Arial" w:eastAsia="Times New Roman" w:hAnsi="Arial" w:cs="Arial"/>
                <w:color w:val="000000"/>
                <w:lang w:eastAsia="en-GB"/>
              </w:rPr>
              <w:t>Coverage of controls across the organisation</w:t>
            </w:r>
          </w:p>
        </w:tc>
      </w:tr>
      <w:tr w:rsidR="00AE4DDE" w:rsidRPr="00D01C2E" w:rsidTr="00F26E62">
        <w:trPr>
          <w:trHeight w:val="300"/>
        </w:trPr>
        <w:tc>
          <w:tcPr>
            <w:tcW w:w="2127" w:type="dxa"/>
            <w:tcBorders>
              <w:bottom w:val="nil"/>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E</w:t>
            </w:r>
            <w:r w:rsidRPr="00F568DF">
              <w:rPr>
                <w:rFonts w:ascii="Arial" w:eastAsia="Times New Roman" w:hAnsi="Arial" w:cs="Arial"/>
                <w:color w:val="000000"/>
                <w:lang w:eastAsia="en-GB"/>
              </w:rPr>
              <w:t>conomic development</w:t>
            </w:r>
          </w:p>
        </w:tc>
        <w:tc>
          <w:tcPr>
            <w:tcW w:w="3544" w:type="dxa"/>
            <w:tcBorders>
              <w:bottom w:val="nil"/>
            </w:tcBorders>
          </w:tcPr>
          <w:p w:rsidR="00AE4DDE" w:rsidRPr="005F0D8A" w:rsidRDefault="00AE4DDE" w:rsidP="00AE4DDE">
            <w:pPr>
              <w:spacing w:before="60" w:after="60" w:line="240" w:lineRule="auto"/>
              <w:rPr>
                <w:rFonts w:ascii="Arial" w:eastAsia="Times New Roman" w:hAnsi="Arial" w:cs="Arial"/>
                <w:color w:val="000000"/>
                <w:lang w:eastAsia="en-GB"/>
              </w:rPr>
            </w:pPr>
            <w:r w:rsidRPr="005F0D8A">
              <w:rPr>
                <w:rFonts w:ascii="Arial" w:eastAsia="Times New Roman" w:hAnsi="Arial" w:cs="Arial"/>
                <w:color w:val="000000"/>
                <w:lang w:eastAsia="en-GB"/>
              </w:rPr>
              <w:t>Lancashire Economic Partnership</w:t>
            </w:r>
            <w:r>
              <w:rPr>
                <w:rFonts w:ascii="Arial" w:eastAsia="Times New Roman" w:hAnsi="Arial" w:cs="Arial"/>
                <w:color w:val="000000"/>
                <w:lang w:eastAsia="en-GB"/>
              </w:rPr>
              <w:t>: governance and accountability</w:t>
            </w:r>
          </w:p>
        </w:tc>
        <w:tc>
          <w:tcPr>
            <w:tcW w:w="5812" w:type="dxa"/>
            <w:shd w:val="clear" w:color="auto" w:fill="auto"/>
            <w:noWrap/>
            <w:hideMark/>
          </w:tcPr>
          <w:p w:rsidR="00006A60" w:rsidRPr="003A1071" w:rsidRDefault="00AE4DDE" w:rsidP="00006A60">
            <w:pPr>
              <w:spacing w:before="60" w:after="60" w:line="240" w:lineRule="auto"/>
              <w:rPr>
                <w:rFonts w:ascii="Arial" w:eastAsia="Times New Roman" w:hAnsi="Arial" w:cs="Arial"/>
                <w:lang w:eastAsia="en-GB"/>
              </w:rPr>
            </w:pPr>
            <w:r w:rsidRPr="003A1071">
              <w:rPr>
                <w:rFonts w:ascii="Arial" w:eastAsia="Times New Roman" w:hAnsi="Arial" w:cs="Arial"/>
                <w:lang w:eastAsia="en-GB"/>
              </w:rPr>
              <w:t>Assessment of the constitution and operation of the Partnership against guidance and local requirements, to ensure the success of the partnership</w:t>
            </w:r>
            <w:r w:rsidR="003A1071" w:rsidRPr="003A1071">
              <w:rPr>
                <w:rFonts w:ascii="Arial" w:eastAsia="Times New Roman" w:hAnsi="Arial" w:cs="Arial"/>
                <w:lang w:eastAsia="en-GB"/>
              </w:rPr>
              <w:t xml:space="preserve"> and </w:t>
            </w:r>
            <w:r w:rsidR="003A1071">
              <w:rPr>
                <w:rFonts w:ascii="Arial" w:eastAsia="Times New Roman" w:hAnsi="Arial" w:cs="Arial"/>
                <w:lang w:eastAsia="en-GB"/>
              </w:rPr>
              <w:t xml:space="preserve">the effective use of </w:t>
            </w:r>
            <w:r w:rsidR="003A1071" w:rsidRPr="003A1071">
              <w:rPr>
                <w:rFonts w:ascii="Arial" w:eastAsia="Times New Roman" w:hAnsi="Arial" w:cs="Arial"/>
                <w:lang w:eastAsia="en-GB"/>
              </w:rPr>
              <w:t xml:space="preserve">its individual funding streams </w:t>
            </w:r>
            <w:r w:rsidR="00006A60">
              <w:rPr>
                <w:rFonts w:ascii="Arial" w:eastAsia="Times New Roman" w:hAnsi="Arial" w:cs="Arial"/>
                <w:lang w:eastAsia="en-GB"/>
              </w:rPr>
              <w:t>(</w:t>
            </w:r>
            <w:r w:rsidR="00006A60" w:rsidRPr="00006A60">
              <w:rPr>
                <w:rFonts w:ascii="Arial" w:eastAsia="Times New Roman" w:hAnsi="Arial" w:cs="Arial"/>
                <w:lang w:eastAsia="en-GB"/>
              </w:rPr>
              <w:t>Lancashire Enterprise Zone</w:t>
            </w:r>
            <w:r w:rsidR="00006A60">
              <w:rPr>
                <w:rFonts w:ascii="Arial" w:eastAsia="Times New Roman" w:hAnsi="Arial" w:cs="Arial"/>
                <w:lang w:eastAsia="en-GB"/>
              </w:rPr>
              <w:t>,</w:t>
            </w:r>
            <w:r w:rsidR="00006A60" w:rsidRPr="00006A60">
              <w:rPr>
                <w:rFonts w:ascii="Arial" w:eastAsia="Times New Roman" w:hAnsi="Arial" w:cs="Arial"/>
                <w:lang w:eastAsia="en-GB"/>
              </w:rPr>
              <w:t xml:space="preserve"> City Deal</w:t>
            </w:r>
            <w:r w:rsidR="00006A60">
              <w:rPr>
                <w:rFonts w:ascii="Arial" w:eastAsia="Times New Roman" w:hAnsi="Arial" w:cs="Arial"/>
                <w:lang w:eastAsia="en-GB"/>
              </w:rPr>
              <w:t>,</w:t>
            </w:r>
            <w:r w:rsidR="00006A60" w:rsidRPr="00006A60">
              <w:rPr>
                <w:rFonts w:ascii="Arial" w:eastAsia="Times New Roman" w:hAnsi="Arial" w:cs="Arial"/>
                <w:lang w:eastAsia="en-GB"/>
              </w:rPr>
              <w:t xml:space="preserve"> Boost Business Lancashire</w:t>
            </w:r>
            <w:r w:rsidR="00006A60">
              <w:rPr>
                <w:rFonts w:ascii="Arial" w:eastAsia="Times New Roman" w:hAnsi="Arial" w:cs="Arial"/>
                <w:lang w:eastAsia="en-GB"/>
              </w:rPr>
              <w:t>,</w:t>
            </w:r>
            <w:r w:rsidR="00006A60" w:rsidRPr="00006A60">
              <w:rPr>
                <w:rFonts w:ascii="Arial" w:eastAsia="Times New Roman" w:hAnsi="Arial" w:cs="Arial"/>
                <w:lang w:eastAsia="en-GB"/>
              </w:rPr>
              <w:t xml:space="preserve"> Growing Places Fund</w:t>
            </w:r>
            <w:r w:rsidR="00006A60">
              <w:rPr>
                <w:rFonts w:ascii="Arial" w:eastAsia="Times New Roman" w:hAnsi="Arial" w:cs="Arial"/>
                <w:lang w:eastAsia="en-GB"/>
              </w:rPr>
              <w:t xml:space="preserve">, </w:t>
            </w:r>
            <w:r w:rsidR="00006A60" w:rsidRPr="00006A60">
              <w:rPr>
                <w:rFonts w:ascii="Arial" w:eastAsia="Times New Roman" w:hAnsi="Arial" w:cs="Arial"/>
                <w:lang w:eastAsia="en-GB"/>
              </w:rPr>
              <w:t>Growth Deal Programme</w:t>
            </w:r>
            <w:r w:rsidR="00006A60">
              <w:rPr>
                <w:rFonts w:ascii="Arial" w:eastAsia="Times New Roman" w:hAnsi="Arial" w:cs="Arial"/>
                <w:lang w:eastAsia="en-GB"/>
              </w:rPr>
              <w:t>).</w:t>
            </w:r>
          </w:p>
        </w:tc>
        <w:tc>
          <w:tcPr>
            <w:tcW w:w="2976" w:type="dxa"/>
          </w:tcPr>
          <w:p w:rsidR="00AE4DDE" w:rsidRPr="00F568DF"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AE4DDE" w:rsidRPr="00D01C2E" w:rsidTr="00F26E62">
        <w:trPr>
          <w:trHeight w:val="300"/>
        </w:trPr>
        <w:tc>
          <w:tcPr>
            <w:tcW w:w="2127" w:type="dxa"/>
            <w:tcBorders>
              <w:top w:val="nil"/>
              <w:bottom w:val="nil"/>
            </w:tcBorders>
            <w:shd w:val="clear" w:color="auto" w:fill="auto"/>
            <w:noWrap/>
          </w:tcPr>
          <w:p w:rsidR="00AE4DDE" w:rsidRPr="00D01C2E" w:rsidRDefault="00AE4DDE" w:rsidP="00AE4DDE">
            <w:pPr>
              <w:spacing w:before="60" w:after="60" w:line="240" w:lineRule="auto"/>
              <w:rPr>
                <w:rFonts w:ascii="Arial" w:eastAsia="Times New Roman" w:hAnsi="Arial" w:cs="Arial"/>
                <w:color w:val="000000"/>
                <w:lang w:eastAsia="en-GB"/>
              </w:rPr>
            </w:pPr>
          </w:p>
        </w:tc>
        <w:tc>
          <w:tcPr>
            <w:tcW w:w="3544" w:type="dxa"/>
            <w:tcBorders>
              <w:top w:val="nil"/>
            </w:tcBorders>
          </w:tcPr>
          <w:p w:rsidR="00AE4DDE" w:rsidRPr="005F0D8A" w:rsidRDefault="00AE4DDE" w:rsidP="00AE4DDE">
            <w:pPr>
              <w:spacing w:before="60" w:after="60" w:line="240" w:lineRule="auto"/>
              <w:rPr>
                <w:rFonts w:ascii="Arial" w:eastAsia="Times New Roman" w:hAnsi="Arial" w:cs="Arial"/>
                <w:color w:val="000000"/>
                <w:lang w:eastAsia="en-GB"/>
              </w:rPr>
            </w:pPr>
          </w:p>
        </w:tc>
        <w:tc>
          <w:tcPr>
            <w:tcW w:w="5812" w:type="dxa"/>
            <w:shd w:val="clear" w:color="auto" w:fill="auto"/>
            <w:noWrap/>
          </w:tcPr>
          <w:p w:rsidR="00AE4DD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Establish and assess the assurance framework for the programme, including assurance available from other areas of audit work and any work by other organisations. </w:t>
            </w:r>
          </w:p>
        </w:tc>
        <w:tc>
          <w:tcPr>
            <w:tcW w:w="2976" w:type="dxa"/>
          </w:tcPr>
          <w:p w:rsidR="00AE4DD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Maximising the value of audit work in other control areas</w:t>
            </w:r>
          </w:p>
        </w:tc>
      </w:tr>
      <w:tr w:rsidR="00AE4DDE" w:rsidRPr="00D01C2E" w:rsidTr="00006A60">
        <w:trPr>
          <w:trHeight w:val="300"/>
        </w:trPr>
        <w:tc>
          <w:tcPr>
            <w:tcW w:w="2127" w:type="dxa"/>
            <w:tcBorders>
              <w:top w:val="single" w:sz="4" w:space="0" w:color="auto"/>
              <w:bottom w:val="single" w:sz="4" w:space="0" w:color="auto"/>
            </w:tcBorders>
            <w:shd w:val="clear" w:color="auto" w:fill="auto"/>
            <w:noWrap/>
          </w:tcPr>
          <w:p w:rsidR="00AE4DDE" w:rsidRPr="00D01C2E" w:rsidRDefault="00AE4DDE" w:rsidP="00AE4DDE">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E</w:t>
            </w:r>
            <w:r w:rsidRPr="00F568DF">
              <w:rPr>
                <w:rFonts w:ascii="Arial" w:eastAsia="Times New Roman" w:hAnsi="Arial" w:cs="Arial"/>
                <w:color w:val="000000"/>
                <w:lang w:eastAsia="en-GB"/>
              </w:rPr>
              <w:t>mergency planning</w:t>
            </w:r>
          </w:p>
        </w:tc>
        <w:tc>
          <w:tcPr>
            <w:tcW w:w="3544" w:type="dxa"/>
            <w:tcBorders>
              <w:bottom w:val="single" w:sz="4" w:space="0" w:color="auto"/>
            </w:tcBorders>
          </w:tcPr>
          <w:p w:rsidR="00AE4DDE" w:rsidRPr="005F0D8A" w:rsidRDefault="00AE4DDE" w:rsidP="00AE4DDE">
            <w:pPr>
              <w:spacing w:before="60" w:after="60" w:line="240" w:lineRule="auto"/>
              <w:rPr>
                <w:rFonts w:ascii="Arial" w:eastAsia="Times New Roman" w:hAnsi="Arial" w:cs="Arial"/>
                <w:color w:val="000000"/>
                <w:lang w:eastAsia="en-GB"/>
              </w:rPr>
            </w:pPr>
            <w:r w:rsidRPr="005F0D8A">
              <w:rPr>
                <w:rFonts w:ascii="Arial" w:eastAsia="Times New Roman" w:hAnsi="Arial" w:cs="Arial"/>
                <w:color w:val="000000"/>
                <w:lang w:eastAsia="en-GB"/>
              </w:rPr>
              <w:t>Adequacy of the plans in place to address emer</w:t>
            </w:r>
            <w:r>
              <w:rPr>
                <w:rFonts w:ascii="Arial" w:eastAsia="Times New Roman" w:hAnsi="Arial" w:cs="Arial"/>
                <w:color w:val="000000"/>
                <w:lang w:eastAsia="en-GB"/>
              </w:rPr>
              <w:t>gencies and civil contingencies</w:t>
            </w:r>
          </w:p>
        </w:tc>
        <w:tc>
          <w:tcPr>
            <w:tcW w:w="5812" w:type="dxa"/>
            <w:tcBorders>
              <w:bottom w:val="single" w:sz="4" w:space="0" w:color="auto"/>
            </w:tcBorders>
            <w:shd w:val="clear" w:color="auto" w:fill="auto"/>
            <w:noWrap/>
          </w:tcPr>
          <w:p w:rsidR="00AE4DDE" w:rsidRPr="005F0D8A" w:rsidRDefault="00AE4DDE" w:rsidP="00AE4DDE">
            <w:pPr>
              <w:spacing w:before="60" w:after="60" w:line="240" w:lineRule="auto"/>
              <w:rPr>
                <w:rFonts w:ascii="Arial" w:eastAsia="Times New Roman" w:hAnsi="Arial" w:cs="Arial"/>
                <w:color w:val="000000"/>
                <w:lang w:eastAsia="en-GB"/>
              </w:rPr>
            </w:pPr>
            <w:r w:rsidRPr="005F0D8A">
              <w:rPr>
                <w:rFonts w:ascii="Arial" w:eastAsia="Times New Roman" w:hAnsi="Arial" w:cs="Arial"/>
                <w:color w:val="000000"/>
                <w:lang w:eastAsia="en-GB"/>
              </w:rPr>
              <w:t>Risk and control evaluation of the adequacy of emergency planning, including involvement of appropriate partners and adequacy of testing.</w:t>
            </w:r>
          </w:p>
        </w:tc>
        <w:tc>
          <w:tcPr>
            <w:tcW w:w="2976" w:type="dxa"/>
            <w:tcBorders>
              <w:bottom w:val="single" w:sz="4" w:space="0" w:color="auto"/>
            </w:tcBorders>
          </w:tcPr>
          <w:p w:rsidR="00AE4DDE" w:rsidRPr="005F0D8A"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006A60" w:rsidRPr="00D01C2E" w:rsidTr="00006A60">
        <w:trPr>
          <w:trHeight w:val="300"/>
        </w:trPr>
        <w:tc>
          <w:tcPr>
            <w:tcW w:w="2127" w:type="dxa"/>
            <w:tcBorders>
              <w:left w:val="nil"/>
              <w:bottom w:val="nil"/>
              <w:right w:val="nil"/>
            </w:tcBorders>
            <w:shd w:val="clear" w:color="auto" w:fill="auto"/>
            <w:noWrap/>
          </w:tcPr>
          <w:p w:rsidR="00006A60" w:rsidRPr="00D01C2E" w:rsidRDefault="00006A60" w:rsidP="00AE4DDE">
            <w:pPr>
              <w:spacing w:before="60" w:after="60" w:line="240" w:lineRule="auto"/>
              <w:rPr>
                <w:rFonts w:ascii="Arial" w:eastAsia="Times New Roman" w:hAnsi="Arial" w:cs="Arial"/>
                <w:color w:val="000000"/>
                <w:lang w:eastAsia="en-GB"/>
              </w:rPr>
            </w:pPr>
          </w:p>
        </w:tc>
        <w:tc>
          <w:tcPr>
            <w:tcW w:w="3544" w:type="dxa"/>
            <w:tcBorders>
              <w:left w:val="nil"/>
              <w:bottom w:val="nil"/>
              <w:right w:val="nil"/>
            </w:tcBorders>
          </w:tcPr>
          <w:p w:rsidR="00006A60" w:rsidRPr="000B7A95" w:rsidRDefault="00006A60" w:rsidP="00AE4DDE">
            <w:pPr>
              <w:spacing w:before="60" w:after="60" w:line="240" w:lineRule="auto"/>
              <w:rPr>
                <w:rFonts w:ascii="Arial" w:eastAsia="Times New Roman" w:hAnsi="Arial" w:cs="Arial"/>
                <w:color w:val="000000"/>
                <w:lang w:eastAsia="en-GB"/>
              </w:rPr>
            </w:pPr>
          </w:p>
        </w:tc>
        <w:tc>
          <w:tcPr>
            <w:tcW w:w="5812" w:type="dxa"/>
            <w:tcBorders>
              <w:left w:val="nil"/>
              <w:bottom w:val="nil"/>
              <w:right w:val="nil"/>
            </w:tcBorders>
            <w:shd w:val="clear" w:color="auto" w:fill="auto"/>
            <w:noWrap/>
          </w:tcPr>
          <w:p w:rsidR="00006A60" w:rsidRPr="005F0D8A" w:rsidRDefault="00006A60" w:rsidP="00AE4DDE">
            <w:pPr>
              <w:spacing w:before="60" w:after="60" w:line="240" w:lineRule="auto"/>
              <w:rPr>
                <w:rFonts w:ascii="Arial" w:eastAsia="Times New Roman" w:hAnsi="Arial" w:cs="Arial"/>
                <w:color w:val="000000"/>
                <w:lang w:eastAsia="en-GB"/>
              </w:rPr>
            </w:pPr>
          </w:p>
        </w:tc>
        <w:tc>
          <w:tcPr>
            <w:tcW w:w="2976" w:type="dxa"/>
            <w:tcBorders>
              <w:left w:val="nil"/>
              <w:bottom w:val="nil"/>
              <w:right w:val="nil"/>
            </w:tcBorders>
          </w:tcPr>
          <w:p w:rsidR="00006A60" w:rsidRDefault="00006A60" w:rsidP="00AE4DDE">
            <w:pPr>
              <w:spacing w:before="60" w:after="60" w:line="240" w:lineRule="auto"/>
              <w:rPr>
                <w:rFonts w:ascii="Arial" w:eastAsia="Times New Roman" w:hAnsi="Arial" w:cs="Arial"/>
                <w:color w:val="000000"/>
                <w:lang w:eastAsia="en-GB"/>
              </w:rPr>
            </w:pPr>
          </w:p>
        </w:tc>
      </w:tr>
      <w:tr w:rsidR="00AE4DDE" w:rsidRPr="00D01C2E" w:rsidTr="00006A60">
        <w:trPr>
          <w:trHeight w:val="300"/>
        </w:trPr>
        <w:tc>
          <w:tcPr>
            <w:tcW w:w="2127" w:type="dxa"/>
            <w:tcBorders>
              <w:top w:val="nil"/>
              <w:bottom w:val="nil"/>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P</w:t>
            </w:r>
            <w:r w:rsidRPr="00F568DF">
              <w:rPr>
                <w:rFonts w:ascii="Arial" w:eastAsia="Times New Roman" w:hAnsi="Arial" w:cs="Arial"/>
                <w:color w:val="000000"/>
                <w:lang w:eastAsia="en-GB"/>
              </w:rPr>
              <w:t xml:space="preserve">ension fund </w:t>
            </w:r>
            <w:r w:rsidRPr="00D01C2E">
              <w:rPr>
                <w:rFonts w:ascii="Arial" w:eastAsia="Times New Roman" w:hAnsi="Arial" w:cs="Arial"/>
                <w:color w:val="000000"/>
                <w:lang w:eastAsia="en-GB"/>
              </w:rPr>
              <w:t>a</w:t>
            </w:r>
            <w:r w:rsidRPr="00F568DF">
              <w:rPr>
                <w:rFonts w:ascii="Arial" w:eastAsia="Times New Roman" w:hAnsi="Arial" w:cs="Arial"/>
                <w:color w:val="000000"/>
                <w:lang w:eastAsia="en-GB"/>
              </w:rPr>
              <w:t>dministration</w:t>
            </w:r>
          </w:p>
        </w:tc>
        <w:tc>
          <w:tcPr>
            <w:tcW w:w="3544" w:type="dxa"/>
            <w:tcBorders>
              <w:top w:val="nil"/>
              <w:bottom w:val="single" w:sz="4" w:space="0" w:color="auto"/>
            </w:tcBorders>
          </w:tcPr>
          <w:p w:rsidR="00AE4DDE" w:rsidRPr="000B7A95" w:rsidRDefault="00AE4DDE" w:rsidP="00AE4DDE">
            <w:pPr>
              <w:spacing w:before="60" w:after="60" w:line="240" w:lineRule="auto"/>
              <w:rPr>
                <w:rFonts w:ascii="Arial" w:eastAsia="Times New Roman" w:hAnsi="Arial" w:cs="Arial"/>
                <w:color w:val="000000"/>
                <w:lang w:eastAsia="en-GB"/>
              </w:rPr>
            </w:pPr>
            <w:r w:rsidRPr="000B7A95">
              <w:rPr>
                <w:rFonts w:ascii="Arial" w:eastAsia="Times New Roman" w:hAnsi="Arial" w:cs="Arial"/>
                <w:color w:val="000000"/>
                <w:lang w:eastAsia="en-GB"/>
              </w:rPr>
              <w:t>Administration o</w:t>
            </w:r>
            <w:r>
              <w:rPr>
                <w:rFonts w:ascii="Arial" w:eastAsia="Times New Roman" w:hAnsi="Arial" w:cs="Arial"/>
                <w:color w:val="000000"/>
                <w:lang w:eastAsia="en-GB"/>
              </w:rPr>
              <w:t>f the fund to serve its members</w:t>
            </w:r>
          </w:p>
        </w:tc>
        <w:tc>
          <w:tcPr>
            <w:tcW w:w="5812" w:type="dxa"/>
            <w:tcBorders>
              <w:top w:val="nil"/>
              <w:bottom w:val="single" w:sz="4" w:space="0" w:color="auto"/>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r w:rsidRPr="005F0D8A">
              <w:rPr>
                <w:rFonts w:ascii="Arial" w:eastAsia="Times New Roman" w:hAnsi="Arial" w:cs="Arial"/>
                <w:color w:val="000000"/>
                <w:lang w:eastAsia="en-GB"/>
              </w:rPr>
              <w:t>Risk and control evaluation</w:t>
            </w:r>
            <w:r>
              <w:rPr>
                <w:rFonts w:ascii="Arial" w:eastAsia="Times New Roman" w:hAnsi="Arial" w:cs="Arial"/>
                <w:color w:val="000000"/>
                <w:lang w:eastAsia="en-GB"/>
              </w:rPr>
              <w:t>, with annual compliance testing, whilst the council has no other source of assurance over this.</w:t>
            </w:r>
          </w:p>
        </w:tc>
        <w:tc>
          <w:tcPr>
            <w:tcW w:w="2976" w:type="dxa"/>
            <w:tcBorders>
              <w:top w:val="nil"/>
              <w:bottom w:val="single" w:sz="4" w:space="0" w:color="auto"/>
            </w:tcBorders>
          </w:tcPr>
          <w:p w:rsidR="00AE4DDE" w:rsidRPr="00C00C67"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significant risks in a number of individual instances</w:t>
            </w:r>
          </w:p>
        </w:tc>
      </w:tr>
      <w:tr w:rsidR="00AE4DDE" w:rsidRPr="00D01C2E" w:rsidTr="00B370DC">
        <w:trPr>
          <w:trHeight w:val="300"/>
        </w:trPr>
        <w:tc>
          <w:tcPr>
            <w:tcW w:w="2127" w:type="dxa"/>
            <w:tcBorders>
              <w:top w:val="nil"/>
              <w:bottom w:val="nil"/>
            </w:tcBorders>
            <w:shd w:val="clear" w:color="auto" w:fill="auto"/>
            <w:noWrap/>
          </w:tcPr>
          <w:p w:rsidR="00AE4DDE" w:rsidRPr="00D01C2E" w:rsidRDefault="00AE4DDE" w:rsidP="00AE4DDE">
            <w:pPr>
              <w:spacing w:before="60" w:after="60" w:line="240" w:lineRule="auto"/>
              <w:rPr>
                <w:rFonts w:ascii="Arial" w:eastAsia="Times New Roman" w:hAnsi="Arial" w:cs="Arial"/>
                <w:color w:val="000000"/>
                <w:lang w:eastAsia="en-GB"/>
              </w:rPr>
            </w:pPr>
          </w:p>
        </w:tc>
        <w:tc>
          <w:tcPr>
            <w:tcW w:w="3544" w:type="dxa"/>
            <w:tcBorders>
              <w:top w:val="nil"/>
              <w:bottom w:val="single" w:sz="4" w:space="0" w:color="auto"/>
            </w:tcBorders>
          </w:tcPr>
          <w:p w:rsidR="00AE4DDE" w:rsidRPr="000B7A95" w:rsidRDefault="00AE4DDE" w:rsidP="00AE4DDE">
            <w:pPr>
              <w:spacing w:before="60" w:after="60" w:line="240" w:lineRule="auto"/>
              <w:rPr>
                <w:rFonts w:ascii="Arial" w:eastAsia="Times New Roman" w:hAnsi="Arial" w:cs="Arial"/>
                <w:color w:val="000000"/>
                <w:lang w:eastAsia="en-GB"/>
              </w:rPr>
            </w:pPr>
            <w:r w:rsidRPr="000B7A95">
              <w:rPr>
                <w:rFonts w:ascii="Arial" w:eastAsia="Times New Roman" w:hAnsi="Arial" w:cs="Arial"/>
                <w:color w:val="000000"/>
                <w:lang w:eastAsia="en-GB"/>
              </w:rPr>
              <w:t xml:space="preserve">Accounting </w:t>
            </w:r>
            <w:r>
              <w:rPr>
                <w:rFonts w:ascii="Arial" w:eastAsia="Times New Roman" w:hAnsi="Arial" w:cs="Arial"/>
                <w:color w:val="000000"/>
                <w:lang w:eastAsia="en-GB"/>
              </w:rPr>
              <w:t>for the fund</w:t>
            </w:r>
          </w:p>
        </w:tc>
        <w:tc>
          <w:tcPr>
            <w:tcW w:w="5812" w:type="dxa"/>
            <w:tcBorders>
              <w:top w:val="nil"/>
              <w:bottom w:val="single" w:sz="4" w:space="0" w:color="auto"/>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r w:rsidRPr="005F0D8A">
              <w:rPr>
                <w:rFonts w:ascii="Arial" w:eastAsia="Times New Roman" w:hAnsi="Arial" w:cs="Arial"/>
                <w:color w:val="000000"/>
                <w:lang w:eastAsia="en-GB"/>
              </w:rPr>
              <w:t>Risk and control evaluation</w:t>
            </w:r>
            <w:r>
              <w:rPr>
                <w:rFonts w:ascii="Arial" w:eastAsia="Times New Roman" w:hAnsi="Arial" w:cs="Arial"/>
                <w:color w:val="000000"/>
                <w:lang w:eastAsia="en-GB"/>
              </w:rPr>
              <w:t>, with annual compliance testing, whilst the council has no other source of assurance over this.</w:t>
            </w:r>
          </w:p>
        </w:tc>
        <w:tc>
          <w:tcPr>
            <w:tcW w:w="2976" w:type="dxa"/>
            <w:tcBorders>
              <w:top w:val="nil"/>
              <w:bottom w:val="single" w:sz="4" w:space="0" w:color="auto"/>
            </w:tcBorders>
          </w:tcPr>
          <w:p w:rsidR="00AE4DDE" w:rsidRPr="00C00C67"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AE4DDE" w:rsidRPr="00D01C2E" w:rsidTr="003101A4">
        <w:trPr>
          <w:trHeight w:val="300"/>
        </w:trPr>
        <w:tc>
          <w:tcPr>
            <w:tcW w:w="2127" w:type="dxa"/>
            <w:tcBorders>
              <w:top w:val="nil"/>
              <w:bottom w:val="single" w:sz="4" w:space="0" w:color="auto"/>
            </w:tcBorders>
            <w:shd w:val="clear" w:color="auto" w:fill="auto"/>
            <w:noWrap/>
          </w:tcPr>
          <w:p w:rsidR="00AE4DDE" w:rsidRPr="00D01C2E" w:rsidRDefault="00AE4DDE" w:rsidP="00AE4DDE">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AE4DDE" w:rsidRPr="000B7A95"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Fund investment management</w:t>
            </w:r>
          </w:p>
        </w:tc>
        <w:tc>
          <w:tcPr>
            <w:tcW w:w="5812" w:type="dxa"/>
            <w:tcBorders>
              <w:bottom w:val="single" w:sz="4" w:space="0" w:color="auto"/>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Assessment with management of the assurance framework and available assurance over the Fund's investments.</w:t>
            </w:r>
          </w:p>
        </w:tc>
        <w:tc>
          <w:tcPr>
            <w:tcW w:w="2976" w:type="dxa"/>
            <w:tcBorders>
              <w:bottom w:val="single" w:sz="4" w:space="0" w:color="auto"/>
            </w:tcBorders>
          </w:tcPr>
          <w:p w:rsidR="00AE4DDE" w:rsidRPr="00C00C67"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AE4DDE" w:rsidRPr="00D01C2E" w:rsidTr="003101A4">
        <w:trPr>
          <w:trHeight w:val="315"/>
        </w:trPr>
        <w:tc>
          <w:tcPr>
            <w:tcW w:w="2127" w:type="dxa"/>
            <w:tcBorders>
              <w:top w:val="nil"/>
              <w:bottom w:val="single" w:sz="4" w:space="0" w:color="auto"/>
              <w:right w:val="nil"/>
            </w:tcBorders>
            <w:shd w:val="clear" w:color="auto" w:fill="auto"/>
            <w:noWrap/>
            <w:hideMark/>
          </w:tcPr>
          <w:p w:rsidR="00AE4DDE" w:rsidRPr="00F568DF" w:rsidRDefault="00AE4DDE" w:rsidP="00AE4DDE">
            <w:pPr>
              <w:spacing w:before="60" w:after="60" w:line="240" w:lineRule="auto"/>
              <w:rPr>
                <w:rFonts w:ascii="Arial" w:eastAsia="Times New Roman" w:hAnsi="Arial" w:cs="Arial"/>
                <w:b/>
                <w:bCs/>
                <w:color w:val="000000"/>
                <w:lang w:eastAsia="en-GB"/>
              </w:rPr>
            </w:pPr>
            <w:r w:rsidRPr="00F568DF">
              <w:rPr>
                <w:rFonts w:ascii="Arial" w:eastAsia="Times New Roman" w:hAnsi="Arial" w:cs="Arial"/>
                <w:b/>
                <w:bCs/>
                <w:color w:val="000000"/>
                <w:lang w:eastAsia="en-GB"/>
              </w:rPr>
              <w:t>Service support</w:t>
            </w:r>
          </w:p>
        </w:tc>
        <w:tc>
          <w:tcPr>
            <w:tcW w:w="3544" w:type="dxa"/>
            <w:tcBorders>
              <w:top w:val="nil"/>
              <w:left w:val="nil"/>
              <w:bottom w:val="single" w:sz="4" w:space="0" w:color="auto"/>
              <w:right w:val="nil"/>
            </w:tcBorders>
          </w:tcPr>
          <w:p w:rsidR="00AE4DDE" w:rsidRPr="00AD7DDD" w:rsidRDefault="00AE4DDE" w:rsidP="00AE4DDE">
            <w:pPr>
              <w:spacing w:before="60" w:after="60" w:line="240" w:lineRule="auto"/>
              <w:rPr>
                <w:rFonts w:ascii="Arial" w:eastAsia="Times New Roman" w:hAnsi="Arial" w:cs="Arial"/>
                <w:color w:val="000000"/>
                <w:lang w:eastAsia="en-GB"/>
              </w:rPr>
            </w:pPr>
          </w:p>
        </w:tc>
        <w:tc>
          <w:tcPr>
            <w:tcW w:w="5812" w:type="dxa"/>
            <w:tcBorders>
              <w:top w:val="nil"/>
              <w:left w:val="nil"/>
              <w:bottom w:val="single" w:sz="4" w:space="0" w:color="auto"/>
              <w:right w:val="nil"/>
            </w:tcBorders>
            <w:shd w:val="clear" w:color="auto" w:fill="auto"/>
            <w:noWrap/>
            <w:hideMark/>
          </w:tcPr>
          <w:p w:rsidR="00AE4DDE" w:rsidRPr="00F568DF" w:rsidRDefault="00AE4DDE" w:rsidP="00AE4DDE">
            <w:pPr>
              <w:spacing w:before="60" w:after="60" w:line="240" w:lineRule="auto"/>
              <w:rPr>
                <w:rFonts w:ascii="Arial" w:eastAsia="Times New Roman" w:hAnsi="Arial" w:cs="Arial"/>
                <w:color w:val="000000"/>
                <w:lang w:eastAsia="en-GB"/>
              </w:rPr>
            </w:pPr>
          </w:p>
        </w:tc>
        <w:tc>
          <w:tcPr>
            <w:tcW w:w="2976" w:type="dxa"/>
            <w:tcBorders>
              <w:top w:val="nil"/>
              <w:left w:val="nil"/>
              <w:bottom w:val="single" w:sz="4" w:space="0" w:color="auto"/>
              <w:right w:val="nil"/>
            </w:tcBorders>
          </w:tcPr>
          <w:p w:rsidR="00AE4DDE" w:rsidRPr="00C00C67" w:rsidRDefault="00AE4DDE" w:rsidP="00AE4DDE">
            <w:pPr>
              <w:spacing w:before="60" w:after="60" w:line="240" w:lineRule="auto"/>
              <w:rPr>
                <w:rFonts w:ascii="Arial" w:eastAsia="Times New Roman" w:hAnsi="Arial" w:cs="Arial"/>
                <w:color w:val="000000"/>
                <w:lang w:eastAsia="en-GB"/>
              </w:rPr>
            </w:pPr>
          </w:p>
        </w:tc>
      </w:tr>
      <w:tr w:rsidR="00AE4DDE" w:rsidRPr="00D01C2E" w:rsidTr="00B370DC">
        <w:trPr>
          <w:trHeight w:val="300"/>
        </w:trPr>
        <w:tc>
          <w:tcPr>
            <w:tcW w:w="2127" w:type="dxa"/>
            <w:tcBorders>
              <w:top w:val="nil"/>
              <w:bottom w:val="single" w:sz="4" w:space="0" w:color="auto"/>
            </w:tcBorders>
            <w:shd w:val="clear" w:color="auto" w:fill="auto"/>
            <w:noWrap/>
          </w:tcPr>
          <w:p w:rsidR="00AE4DDE" w:rsidRPr="00D01C2E" w:rsidRDefault="00BF250E" w:rsidP="00AE4DDE">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B</w:t>
            </w:r>
            <w:r w:rsidRPr="00F568DF">
              <w:rPr>
                <w:rFonts w:ascii="Arial" w:eastAsia="Times New Roman" w:hAnsi="Arial" w:cs="Arial"/>
                <w:color w:val="000000"/>
                <w:lang w:eastAsia="en-GB"/>
              </w:rPr>
              <w:t>usiness systems</w:t>
            </w:r>
          </w:p>
        </w:tc>
        <w:tc>
          <w:tcPr>
            <w:tcW w:w="3544" w:type="dxa"/>
            <w:tcBorders>
              <w:bottom w:val="single" w:sz="4" w:space="0" w:color="auto"/>
            </w:tcBorders>
          </w:tcPr>
          <w:p w:rsidR="00AE4DDE" w:rsidRPr="00FD5224"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Monitoring of the contract with BTLS</w:t>
            </w:r>
          </w:p>
        </w:tc>
        <w:tc>
          <w:tcPr>
            <w:tcW w:w="5812" w:type="dxa"/>
            <w:tcBorders>
              <w:bottom w:val="single" w:sz="4" w:space="0" w:color="auto"/>
            </w:tcBorders>
            <w:shd w:val="clear" w:color="auto" w:fill="auto"/>
            <w:noWrap/>
          </w:tcPr>
          <w:p w:rsidR="00AE4DDE" w:rsidRPr="00FD5224" w:rsidRDefault="00AE4DDE" w:rsidP="00AE4DDE">
            <w:pPr>
              <w:spacing w:before="60" w:after="60" w:line="240" w:lineRule="auto"/>
              <w:rPr>
                <w:rFonts w:ascii="Arial" w:eastAsia="Times New Roman" w:hAnsi="Arial" w:cs="Arial"/>
                <w:color w:val="000000"/>
                <w:lang w:eastAsia="en-GB"/>
              </w:rPr>
            </w:pPr>
            <w:r w:rsidRPr="00FD5224">
              <w:rPr>
                <w:rFonts w:ascii="Arial" w:eastAsia="Times New Roman" w:hAnsi="Arial" w:cs="Arial"/>
                <w:color w:val="000000"/>
                <w:lang w:eastAsia="en-GB"/>
              </w:rPr>
              <w:t>R</w:t>
            </w:r>
            <w:r>
              <w:rPr>
                <w:rFonts w:ascii="Arial" w:eastAsia="Times New Roman" w:hAnsi="Arial" w:cs="Arial"/>
                <w:color w:val="000000"/>
                <w:lang w:eastAsia="en-GB"/>
              </w:rPr>
              <w:t>isk and control evaluation of contract</w:t>
            </w:r>
            <w:r w:rsidRPr="00FD5224">
              <w:rPr>
                <w:rFonts w:ascii="Arial" w:eastAsia="Times New Roman" w:hAnsi="Arial" w:cs="Arial"/>
                <w:color w:val="000000"/>
                <w:lang w:eastAsia="en-GB"/>
              </w:rPr>
              <w:t xml:space="preserve"> monitor</w:t>
            </w:r>
            <w:r>
              <w:rPr>
                <w:rFonts w:ascii="Arial" w:eastAsia="Times New Roman" w:hAnsi="Arial" w:cs="Arial"/>
                <w:color w:val="000000"/>
                <w:lang w:eastAsia="en-GB"/>
              </w:rPr>
              <w:t>ing, with compliance testing.</w:t>
            </w:r>
          </w:p>
        </w:tc>
        <w:tc>
          <w:tcPr>
            <w:tcW w:w="2976" w:type="dxa"/>
            <w:tcBorders>
              <w:bottom w:val="single" w:sz="4" w:space="0" w:color="auto"/>
            </w:tcBorders>
          </w:tcPr>
          <w:p w:rsidR="00AE4DDE" w:rsidRPr="00FD5224"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Coverage of controls across the organisation</w:t>
            </w:r>
          </w:p>
        </w:tc>
      </w:tr>
      <w:tr w:rsidR="00AE4DDE" w:rsidRPr="00D01C2E" w:rsidTr="00B370DC">
        <w:trPr>
          <w:trHeight w:val="315"/>
        </w:trPr>
        <w:tc>
          <w:tcPr>
            <w:tcW w:w="5671" w:type="dxa"/>
            <w:gridSpan w:val="2"/>
            <w:tcBorders>
              <w:right w:val="nil"/>
            </w:tcBorders>
            <w:shd w:val="clear" w:color="auto" w:fill="auto"/>
            <w:noWrap/>
            <w:hideMark/>
          </w:tcPr>
          <w:p w:rsidR="00AE4DDE" w:rsidRPr="00D01C2E" w:rsidRDefault="00AE4DDE" w:rsidP="00AE4DDE">
            <w:pPr>
              <w:spacing w:before="60" w:after="60" w:line="240" w:lineRule="auto"/>
              <w:rPr>
                <w:rFonts w:ascii="Arial" w:eastAsia="Times New Roman" w:hAnsi="Arial" w:cs="Arial"/>
                <w:b/>
                <w:bCs/>
                <w:color w:val="000000"/>
                <w:lang w:eastAsia="en-GB"/>
              </w:rPr>
            </w:pPr>
            <w:r w:rsidRPr="00F568DF">
              <w:rPr>
                <w:rFonts w:ascii="Arial" w:eastAsia="Times New Roman" w:hAnsi="Arial" w:cs="Arial"/>
                <w:b/>
                <w:color w:val="000000"/>
                <w:lang w:eastAsia="en-GB"/>
              </w:rPr>
              <w:t xml:space="preserve">Business </w:t>
            </w:r>
            <w:r w:rsidRPr="00C00C67">
              <w:rPr>
                <w:rFonts w:ascii="Arial" w:eastAsia="Times New Roman" w:hAnsi="Arial" w:cs="Arial"/>
                <w:b/>
                <w:color w:val="000000"/>
                <w:lang w:eastAsia="en-GB"/>
              </w:rPr>
              <w:t>processes</w:t>
            </w:r>
          </w:p>
        </w:tc>
        <w:tc>
          <w:tcPr>
            <w:tcW w:w="5812" w:type="dxa"/>
            <w:tcBorders>
              <w:left w:val="nil"/>
              <w:right w:val="nil"/>
            </w:tcBorders>
            <w:shd w:val="clear" w:color="auto" w:fill="auto"/>
            <w:noWrap/>
            <w:hideMark/>
          </w:tcPr>
          <w:p w:rsidR="00AE4DDE" w:rsidRPr="00F568DF" w:rsidRDefault="00AE4DDE" w:rsidP="00AE4DDE">
            <w:pPr>
              <w:spacing w:before="60" w:after="60" w:line="240" w:lineRule="auto"/>
              <w:rPr>
                <w:rFonts w:ascii="Arial" w:eastAsia="Times New Roman" w:hAnsi="Arial" w:cs="Arial"/>
                <w:b/>
                <w:bCs/>
                <w:color w:val="000000"/>
                <w:lang w:eastAsia="en-GB"/>
              </w:rPr>
            </w:pPr>
          </w:p>
        </w:tc>
        <w:tc>
          <w:tcPr>
            <w:tcW w:w="2976" w:type="dxa"/>
            <w:tcBorders>
              <w:left w:val="nil"/>
              <w:right w:val="nil"/>
            </w:tcBorders>
          </w:tcPr>
          <w:p w:rsidR="00AE4DDE" w:rsidRPr="00F568DF" w:rsidRDefault="00AE4DDE" w:rsidP="00AE4DDE">
            <w:pPr>
              <w:spacing w:before="60" w:after="60" w:line="240" w:lineRule="auto"/>
              <w:rPr>
                <w:rFonts w:ascii="Arial" w:eastAsia="Times New Roman" w:hAnsi="Arial" w:cs="Arial"/>
                <w:b/>
                <w:bCs/>
                <w:color w:val="000000"/>
                <w:lang w:eastAsia="en-GB"/>
              </w:rPr>
            </w:pPr>
          </w:p>
        </w:tc>
      </w:tr>
      <w:tr w:rsidR="00AE4DDE" w:rsidRPr="00D01C2E" w:rsidTr="00B370DC">
        <w:trPr>
          <w:trHeight w:val="300"/>
        </w:trPr>
        <w:tc>
          <w:tcPr>
            <w:tcW w:w="2127" w:type="dxa"/>
            <w:tcBorders>
              <w:bottom w:val="nil"/>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F</w:t>
            </w:r>
            <w:r w:rsidRPr="00F568DF">
              <w:rPr>
                <w:rFonts w:ascii="Arial" w:eastAsia="Times New Roman" w:hAnsi="Arial" w:cs="Arial"/>
                <w:color w:val="000000"/>
                <w:lang w:eastAsia="en-GB"/>
              </w:rPr>
              <w:t>inancial processes</w:t>
            </w:r>
          </w:p>
        </w:tc>
        <w:tc>
          <w:tcPr>
            <w:tcW w:w="3544" w:type="dxa"/>
          </w:tcPr>
          <w:p w:rsidR="00AE4DDE" w:rsidRPr="0032290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Treasury management</w:t>
            </w:r>
          </w:p>
        </w:tc>
        <w:tc>
          <w:tcPr>
            <w:tcW w:w="5812" w:type="dxa"/>
            <w:shd w:val="clear" w:color="auto" w:fill="auto"/>
            <w:noWrap/>
          </w:tcPr>
          <w:p w:rsidR="00AE4DDE" w:rsidRPr="0032290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Risk and control evaluation of the controls in place, with </w:t>
            </w:r>
            <w:r w:rsidRPr="00C00C67">
              <w:rPr>
                <w:rFonts w:ascii="Arial" w:eastAsia="Times New Roman" w:hAnsi="Arial" w:cs="Arial"/>
                <w:color w:val="000000"/>
                <w:lang w:eastAsia="en-GB"/>
              </w:rPr>
              <w:t>annual compliance testing.</w:t>
            </w:r>
          </w:p>
        </w:tc>
        <w:tc>
          <w:tcPr>
            <w:tcW w:w="2976" w:type="dxa"/>
            <w:tcBorders>
              <w:bottom w:val="single" w:sz="4" w:space="0" w:color="auto"/>
            </w:tcBorders>
          </w:tcPr>
          <w:p w:rsidR="00AE4DD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AE4DDE" w:rsidRPr="00D01C2E" w:rsidTr="00B370DC">
        <w:trPr>
          <w:trHeight w:val="300"/>
        </w:trPr>
        <w:tc>
          <w:tcPr>
            <w:tcW w:w="2127" w:type="dxa"/>
            <w:tcBorders>
              <w:top w:val="nil"/>
              <w:bottom w:val="nil"/>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p>
        </w:tc>
        <w:tc>
          <w:tcPr>
            <w:tcW w:w="3544" w:type="dxa"/>
          </w:tcPr>
          <w:p w:rsidR="00AE4DDE" w:rsidRPr="00C00C67"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Oracle general ledger</w:t>
            </w:r>
          </w:p>
        </w:tc>
        <w:tc>
          <w:tcPr>
            <w:tcW w:w="5812" w:type="dxa"/>
            <w:shd w:val="clear" w:color="auto" w:fill="auto"/>
            <w:noWrap/>
          </w:tcPr>
          <w:p w:rsidR="00AE4DDE" w:rsidRPr="00C00C67"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Risk and control evaluation of the controls in place, with </w:t>
            </w:r>
            <w:r w:rsidRPr="00C00C67">
              <w:rPr>
                <w:rFonts w:ascii="Arial" w:eastAsia="Times New Roman" w:hAnsi="Arial" w:cs="Arial"/>
                <w:color w:val="000000"/>
                <w:lang w:eastAsia="en-GB"/>
              </w:rPr>
              <w:t>annual compliance testing.</w:t>
            </w:r>
          </w:p>
        </w:tc>
        <w:tc>
          <w:tcPr>
            <w:tcW w:w="2976" w:type="dxa"/>
            <w:tcBorders>
              <w:bottom w:val="single" w:sz="4" w:space="0" w:color="auto"/>
            </w:tcBorders>
          </w:tcPr>
          <w:p w:rsidR="00AE4DDE" w:rsidRPr="00C00C67"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AE4DDE" w:rsidRPr="00D01C2E" w:rsidTr="00B370DC">
        <w:trPr>
          <w:trHeight w:val="300"/>
        </w:trPr>
        <w:tc>
          <w:tcPr>
            <w:tcW w:w="2127" w:type="dxa"/>
            <w:tcBorders>
              <w:top w:val="nil"/>
              <w:bottom w:val="nil"/>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p>
        </w:tc>
        <w:tc>
          <w:tcPr>
            <w:tcW w:w="3544" w:type="dxa"/>
          </w:tcPr>
          <w:p w:rsidR="00AE4DDE" w:rsidRPr="00C00C67" w:rsidRDefault="00AE4DDE" w:rsidP="00AE4DDE">
            <w:pPr>
              <w:spacing w:before="60" w:after="60" w:line="240" w:lineRule="auto"/>
              <w:rPr>
                <w:rFonts w:ascii="Arial" w:eastAsia="Times New Roman" w:hAnsi="Arial" w:cs="Arial"/>
                <w:color w:val="000000"/>
                <w:lang w:eastAsia="en-GB"/>
              </w:rPr>
            </w:pPr>
            <w:r w:rsidRPr="00C00C67">
              <w:rPr>
                <w:rFonts w:ascii="Arial" w:eastAsia="Times New Roman" w:hAnsi="Arial" w:cs="Arial"/>
                <w:color w:val="000000"/>
                <w:lang w:eastAsia="en-GB"/>
              </w:rPr>
              <w:t>Accounts receivable and de</w:t>
            </w:r>
            <w:r>
              <w:rPr>
                <w:rFonts w:ascii="Arial" w:eastAsia="Times New Roman" w:hAnsi="Arial" w:cs="Arial"/>
                <w:color w:val="000000"/>
                <w:lang w:eastAsia="en-GB"/>
              </w:rPr>
              <w:t>bt management: central controls</w:t>
            </w:r>
          </w:p>
        </w:tc>
        <w:tc>
          <w:tcPr>
            <w:tcW w:w="5812" w:type="dxa"/>
            <w:shd w:val="clear" w:color="auto" w:fill="auto"/>
            <w:noWrap/>
          </w:tcPr>
          <w:p w:rsidR="00AE4DDE" w:rsidRPr="00C00C67"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Risk and control evaluation of the controls in place, with </w:t>
            </w:r>
            <w:r w:rsidRPr="00C00C67">
              <w:rPr>
                <w:rFonts w:ascii="Arial" w:eastAsia="Times New Roman" w:hAnsi="Arial" w:cs="Arial"/>
                <w:color w:val="000000"/>
                <w:lang w:eastAsia="en-GB"/>
              </w:rPr>
              <w:t>annual compliance testing.</w:t>
            </w:r>
          </w:p>
        </w:tc>
        <w:tc>
          <w:tcPr>
            <w:tcW w:w="2976" w:type="dxa"/>
            <w:tcBorders>
              <w:bottom w:val="single" w:sz="4" w:space="0" w:color="auto"/>
            </w:tcBorders>
          </w:tcPr>
          <w:p w:rsidR="00AE4DDE" w:rsidRPr="00C00C67"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AE4DDE" w:rsidRPr="00D01C2E" w:rsidTr="00B229B4">
        <w:trPr>
          <w:trHeight w:val="300"/>
        </w:trPr>
        <w:tc>
          <w:tcPr>
            <w:tcW w:w="2127" w:type="dxa"/>
            <w:tcBorders>
              <w:top w:val="nil"/>
              <w:bottom w:val="nil"/>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AE4DDE" w:rsidRDefault="00AE4DDE" w:rsidP="00AE4DDE">
            <w:pPr>
              <w:spacing w:before="60" w:after="60" w:line="240" w:lineRule="auto"/>
              <w:rPr>
                <w:rFonts w:ascii="Arial" w:eastAsia="Times New Roman" w:hAnsi="Arial" w:cs="Arial"/>
                <w:color w:val="000000"/>
                <w:lang w:eastAsia="en-GB"/>
              </w:rPr>
            </w:pPr>
            <w:r w:rsidRPr="00C00C67">
              <w:rPr>
                <w:rFonts w:ascii="Arial" w:eastAsia="Times New Roman" w:hAnsi="Arial" w:cs="Arial"/>
                <w:color w:val="000000"/>
                <w:lang w:eastAsia="en-GB"/>
              </w:rPr>
              <w:t>Accounts receivable and de</w:t>
            </w:r>
            <w:r>
              <w:rPr>
                <w:rFonts w:ascii="Arial" w:eastAsia="Times New Roman" w:hAnsi="Arial" w:cs="Arial"/>
                <w:color w:val="000000"/>
                <w:lang w:eastAsia="en-GB"/>
              </w:rPr>
              <w:t>bt management: feeder system controls</w:t>
            </w:r>
          </w:p>
        </w:tc>
        <w:tc>
          <w:tcPr>
            <w:tcW w:w="5812" w:type="dxa"/>
            <w:tcBorders>
              <w:bottom w:val="single" w:sz="4" w:space="0" w:color="auto"/>
            </w:tcBorders>
            <w:shd w:val="clear" w:color="auto" w:fill="auto"/>
            <w:noWrap/>
          </w:tcPr>
          <w:p w:rsidR="00AE4DD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Risk and control evaluation of the controls in place, with annual compliance testing of a sample of feeder systems.</w:t>
            </w:r>
          </w:p>
        </w:tc>
        <w:tc>
          <w:tcPr>
            <w:tcW w:w="2976" w:type="dxa"/>
            <w:tcBorders>
              <w:top w:val="single" w:sz="4" w:space="0" w:color="auto"/>
              <w:bottom w:val="single" w:sz="4" w:space="0" w:color="auto"/>
            </w:tcBorders>
          </w:tcPr>
          <w:p w:rsidR="00AE4DDE" w:rsidRPr="00C00C67"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AE4DDE" w:rsidRPr="00D01C2E" w:rsidTr="00B229B4">
        <w:trPr>
          <w:trHeight w:val="300"/>
        </w:trPr>
        <w:tc>
          <w:tcPr>
            <w:tcW w:w="2127" w:type="dxa"/>
            <w:tcBorders>
              <w:top w:val="nil"/>
              <w:bottom w:val="nil"/>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p>
        </w:tc>
        <w:tc>
          <w:tcPr>
            <w:tcW w:w="3544" w:type="dxa"/>
            <w:tcBorders>
              <w:top w:val="nil"/>
              <w:bottom w:val="single" w:sz="4" w:space="0" w:color="auto"/>
            </w:tcBorders>
          </w:tcPr>
          <w:p w:rsidR="00AE4DDE" w:rsidRPr="0032290E" w:rsidRDefault="00AE4DDE" w:rsidP="00AE4DDE">
            <w:pPr>
              <w:spacing w:before="60" w:after="60" w:line="240" w:lineRule="auto"/>
              <w:rPr>
                <w:rFonts w:ascii="Arial" w:eastAsia="Times New Roman" w:hAnsi="Arial" w:cs="Arial"/>
                <w:color w:val="000000"/>
                <w:lang w:eastAsia="en-GB"/>
              </w:rPr>
            </w:pPr>
            <w:r w:rsidRPr="0032290E">
              <w:rPr>
                <w:rFonts w:ascii="Arial" w:eastAsia="Times New Roman" w:hAnsi="Arial" w:cs="Arial"/>
                <w:color w:val="000000"/>
                <w:lang w:eastAsia="en-GB"/>
              </w:rPr>
              <w:t>Cash and banking: central controls including checks over completeness an</w:t>
            </w:r>
            <w:r>
              <w:rPr>
                <w:rFonts w:ascii="Arial" w:eastAsia="Times New Roman" w:hAnsi="Arial" w:cs="Arial"/>
                <w:color w:val="000000"/>
                <w:lang w:eastAsia="en-GB"/>
              </w:rPr>
              <w:t>d compliance in other locations</w:t>
            </w:r>
          </w:p>
        </w:tc>
        <w:tc>
          <w:tcPr>
            <w:tcW w:w="5812" w:type="dxa"/>
            <w:tcBorders>
              <w:top w:val="nil"/>
              <w:bottom w:val="single" w:sz="4" w:space="0" w:color="auto"/>
            </w:tcBorders>
            <w:shd w:val="clear" w:color="auto" w:fill="auto"/>
            <w:noWrap/>
          </w:tcPr>
          <w:p w:rsidR="00AE4DDE" w:rsidRPr="0032290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Risk and control evaluation of the controls in place, with </w:t>
            </w:r>
            <w:r w:rsidRPr="00C00C67">
              <w:rPr>
                <w:rFonts w:ascii="Arial" w:eastAsia="Times New Roman" w:hAnsi="Arial" w:cs="Arial"/>
                <w:color w:val="000000"/>
                <w:lang w:eastAsia="en-GB"/>
              </w:rPr>
              <w:t>annual compliance testing.</w:t>
            </w:r>
          </w:p>
        </w:tc>
        <w:tc>
          <w:tcPr>
            <w:tcW w:w="2976" w:type="dxa"/>
            <w:tcBorders>
              <w:top w:val="nil"/>
              <w:bottom w:val="single" w:sz="4" w:space="0" w:color="auto"/>
            </w:tcBorders>
          </w:tcPr>
          <w:p w:rsidR="00AE4DDE" w:rsidRPr="0032290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AE4DDE" w:rsidRPr="00D01C2E" w:rsidTr="004C318C">
        <w:trPr>
          <w:trHeight w:val="300"/>
        </w:trPr>
        <w:tc>
          <w:tcPr>
            <w:tcW w:w="2127" w:type="dxa"/>
            <w:tcBorders>
              <w:top w:val="nil"/>
              <w:bottom w:val="single" w:sz="4" w:space="0" w:color="auto"/>
            </w:tcBorders>
            <w:shd w:val="clear" w:color="auto" w:fill="auto"/>
            <w:noWrap/>
          </w:tcPr>
          <w:p w:rsidR="00AE4DDE" w:rsidRPr="00D01C2E" w:rsidRDefault="00AE4DDE" w:rsidP="00AE4DDE">
            <w:pPr>
              <w:spacing w:before="60" w:after="60" w:line="240" w:lineRule="auto"/>
              <w:rPr>
                <w:rFonts w:ascii="Arial" w:eastAsia="Times New Roman" w:hAnsi="Arial" w:cs="Arial"/>
                <w:color w:val="000000"/>
                <w:lang w:eastAsia="en-GB"/>
              </w:rPr>
            </w:pPr>
          </w:p>
        </w:tc>
        <w:tc>
          <w:tcPr>
            <w:tcW w:w="3544" w:type="dxa"/>
            <w:tcBorders>
              <w:top w:val="nil"/>
              <w:bottom w:val="single" w:sz="4" w:space="0" w:color="auto"/>
            </w:tcBorders>
          </w:tcPr>
          <w:p w:rsidR="00AE4DDE" w:rsidRPr="00C00C67" w:rsidRDefault="00AE4DDE" w:rsidP="00AE4DDE">
            <w:pPr>
              <w:spacing w:before="60" w:after="60" w:line="240" w:lineRule="auto"/>
              <w:rPr>
                <w:rFonts w:ascii="Arial" w:eastAsia="Times New Roman" w:hAnsi="Arial" w:cs="Arial"/>
                <w:color w:val="000000"/>
                <w:lang w:eastAsia="en-GB"/>
              </w:rPr>
            </w:pPr>
            <w:r w:rsidRPr="00C00C67">
              <w:rPr>
                <w:rFonts w:ascii="Arial" w:eastAsia="Times New Roman" w:hAnsi="Arial" w:cs="Arial"/>
                <w:color w:val="000000"/>
                <w:lang w:eastAsia="en-GB"/>
              </w:rPr>
              <w:t>Oversight of payrol</w:t>
            </w:r>
            <w:r>
              <w:rPr>
                <w:rFonts w:ascii="Arial" w:eastAsia="Times New Roman" w:hAnsi="Arial" w:cs="Arial"/>
                <w:color w:val="000000"/>
                <w:lang w:eastAsia="en-GB"/>
              </w:rPr>
              <w:t>l payments</w:t>
            </w:r>
          </w:p>
        </w:tc>
        <w:tc>
          <w:tcPr>
            <w:tcW w:w="5812" w:type="dxa"/>
            <w:tcBorders>
              <w:top w:val="nil"/>
              <w:bottom w:val="single" w:sz="4" w:space="0" w:color="auto"/>
            </w:tcBorders>
            <w:shd w:val="clear" w:color="auto" w:fill="auto"/>
            <w:noWrap/>
          </w:tcPr>
          <w:p w:rsidR="00AE4DDE" w:rsidRPr="00C00C67"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Risk and control evaluation of the council's </w:t>
            </w:r>
            <w:r w:rsidRPr="00C00C67">
              <w:rPr>
                <w:rFonts w:ascii="Arial" w:eastAsia="Times New Roman" w:hAnsi="Arial" w:cs="Arial"/>
                <w:color w:val="000000"/>
                <w:lang w:eastAsia="en-GB"/>
              </w:rPr>
              <w:t>monitoring an</w:t>
            </w:r>
            <w:r>
              <w:rPr>
                <w:rFonts w:ascii="Arial" w:eastAsia="Times New Roman" w:hAnsi="Arial" w:cs="Arial"/>
                <w:color w:val="000000"/>
                <w:lang w:eastAsia="en-GB"/>
              </w:rPr>
              <w:t xml:space="preserve">d oversight of BTLS's processes, with </w:t>
            </w:r>
            <w:r w:rsidRPr="00C00C67">
              <w:rPr>
                <w:rFonts w:ascii="Arial" w:eastAsia="Times New Roman" w:hAnsi="Arial" w:cs="Arial"/>
                <w:color w:val="000000"/>
                <w:lang w:eastAsia="en-GB"/>
              </w:rPr>
              <w:t>annual compliance testing.</w:t>
            </w:r>
          </w:p>
        </w:tc>
        <w:tc>
          <w:tcPr>
            <w:tcW w:w="2976" w:type="dxa"/>
            <w:tcBorders>
              <w:top w:val="nil"/>
              <w:bottom w:val="single" w:sz="4" w:space="0" w:color="auto"/>
            </w:tcBorders>
          </w:tcPr>
          <w:p w:rsidR="00AE4DDE" w:rsidRPr="00C00C67"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4C318C" w:rsidRPr="00D01C2E" w:rsidTr="00B229B4">
        <w:trPr>
          <w:trHeight w:val="300"/>
        </w:trPr>
        <w:tc>
          <w:tcPr>
            <w:tcW w:w="2127" w:type="dxa"/>
            <w:tcBorders>
              <w:top w:val="single" w:sz="4" w:space="0" w:color="auto"/>
              <w:bottom w:val="nil"/>
            </w:tcBorders>
            <w:shd w:val="clear" w:color="auto" w:fill="auto"/>
            <w:noWrap/>
          </w:tcPr>
          <w:p w:rsidR="004C318C" w:rsidRPr="00D01C2E" w:rsidRDefault="004C318C" w:rsidP="00AE4DDE">
            <w:pPr>
              <w:spacing w:before="60" w:after="60" w:line="240" w:lineRule="auto"/>
              <w:rPr>
                <w:rFonts w:ascii="Arial" w:eastAsia="Times New Roman" w:hAnsi="Arial" w:cs="Arial"/>
                <w:color w:val="000000"/>
                <w:lang w:eastAsia="en-GB"/>
              </w:rPr>
            </w:pPr>
          </w:p>
        </w:tc>
        <w:tc>
          <w:tcPr>
            <w:tcW w:w="3544" w:type="dxa"/>
            <w:tcBorders>
              <w:top w:val="nil"/>
            </w:tcBorders>
          </w:tcPr>
          <w:p w:rsidR="004C318C" w:rsidRPr="00C00C67" w:rsidRDefault="004C318C"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Pay</w:t>
            </w:r>
            <w:r w:rsidR="00076085">
              <w:rPr>
                <w:rFonts w:ascii="Arial" w:eastAsia="Times New Roman" w:hAnsi="Arial" w:cs="Arial"/>
                <w:color w:val="000000"/>
                <w:lang w:eastAsia="en-GB"/>
              </w:rPr>
              <w:t>roll payments processed by BTLS</w:t>
            </w:r>
          </w:p>
        </w:tc>
        <w:tc>
          <w:tcPr>
            <w:tcW w:w="5812" w:type="dxa"/>
            <w:tcBorders>
              <w:top w:val="nil"/>
            </w:tcBorders>
            <w:shd w:val="clear" w:color="auto" w:fill="auto"/>
            <w:noWrap/>
          </w:tcPr>
          <w:p w:rsidR="004C318C" w:rsidRDefault="004C318C"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Risk and control evaluation of the controls in place, with </w:t>
            </w:r>
            <w:r w:rsidRPr="00C00C67">
              <w:rPr>
                <w:rFonts w:ascii="Arial" w:eastAsia="Times New Roman" w:hAnsi="Arial" w:cs="Arial"/>
                <w:color w:val="000000"/>
                <w:lang w:eastAsia="en-GB"/>
              </w:rPr>
              <w:t>annual compliance testing.</w:t>
            </w:r>
          </w:p>
        </w:tc>
        <w:tc>
          <w:tcPr>
            <w:tcW w:w="2976" w:type="dxa"/>
            <w:tcBorders>
              <w:top w:val="nil"/>
              <w:bottom w:val="single" w:sz="4" w:space="0" w:color="auto"/>
            </w:tcBorders>
          </w:tcPr>
          <w:p w:rsidR="004C318C" w:rsidRDefault="004C318C"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AE4DDE" w:rsidRPr="00D01C2E" w:rsidTr="004C318C">
        <w:trPr>
          <w:trHeight w:val="300"/>
        </w:trPr>
        <w:tc>
          <w:tcPr>
            <w:tcW w:w="2127" w:type="dxa"/>
            <w:tcBorders>
              <w:top w:val="nil"/>
              <w:bottom w:val="nil"/>
            </w:tcBorders>
            <w:shd w:val="clear" w:color="auto" w:fill="auto"/>
            <w:noWrap/>
          </w:tcPr>
          <w:p w:rsidR="00AE4DDE" w:rsidRPr="00D01C2E" w:rsidRDefault="00AE4DDE" w:rsidP="00AE4DDE">
            <w:pPr>
              <w:spacing w:before="60" w:after="60" w:line="240" w:lineRule="auto"/>
              <w:rPr>
                <w:rFonts w:ascii="Arial" w:eastAsia="Times New Roman" w:hAnsi="Arial" w:cs="Arial"/>
                <w:color w:val="000000"/>
                <w:lang w:eastAsia="en-GB"/>
              </w:rPr>
            </w:pPr>
          </w:p>
        </w:tc>
        <w:tc>
          <w:tcPr>
            <w:tcW w:w="3544" w:type="dxa"/>
            <w:tcBorders>
              <w:top w:val="nil"/>
            </w:tcBorders>
          </w:tcPr>
          <w:p w:rsidR="00AE4DDE" w:rsidRPr="00C00C67" w:rsidRDefault="00AE4DDE" w:rsidP="00AE4DDE">
            <w:pPr>
              <w:spacing w:before="60" w:after="60" w:line="240" w:lineRule="auto"/>
              <w:rPr>
                <w:rFonts w:ascii="Arial" w:eastAsia="Times New Roman" w:hAnsi="Arial" w:cs="Arial"/>
                <w:color w:val="000000"/>
                <w:lang w:eastAsia="en-GB"/>
              </w:rPr>
            </w:pPr>
            <w:r w:rsidRPr="00C00C67">
              <w:rPr>
                <w:rFonts w:ascii="Arial" w:eastAsia="Times New Roman" w:hAnsi="Arial" w:cs="Arial"/>
                <w:color w:val="000000"/>
                <w:lang w:eastAsia="en-GB"/>
              </w:rPr>
              <w:t>Acc</w:t>
            </w:r>
            <w:r>
              <w:rPr>
                <w:rFonts w:ascii="Arial" w:eastAsia="Times New Roman" w:hAnsi="Arial" w:cs="Arial"/>
                <w:color w:val="000000"/>
                <w:lang w:eastAsia="en-GB"/>
              </w:rPr>
              <w:t>ounts payable: central controls</w:t>
            </w:r>
          </w:p>
        </w:tc>
        <w:tc>
          <w:tcPr>
            <w:tcW w:w="5812" w:type="dxa"/>
            <w:tcBorders>
              <w:top w:val="nil"/>
            </w:tcBorders>
            <w:shd w:val="clear" w:color="auto" w:fill="auto"/>
            <w:noWrap/>
          </w:tcPr>
          <w:p w:rsidR="00AE4DDE" w:rsidRPr="00C00C67"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Risk and control evaluation of the controls in place, with </w:t>
            </w:r>
            <w:r w:rsidRPr="00C00C67">
              <w:rPr>
                <w:rFonts w:ascii="Arial" w:eastAsia="Times New Roman" w:hAnsi="Arial" w:cs="Arial"/>
                <w:color w:val="000000"/>
                <w:lang w:eastAsia="en-GB"/>
              </w:rPr>
              <w:t>annual compliance testing.</w:t>
            </w:r>
          </w:p>
        </w:tc>
        <w:tc>
          <w:tcPr>
            <w:tcW w:w="2976" w:type="dxa"/>
            <w:tcBorders>
              <w:top w:val="nil"/>
              <w:bottom w:val="single" w:sz="4" w:space="0" w:color="auto"/>
            </w:tcBorders>
          </w:tcPr>
          <w:p w:rsidR="00AE4DDE" w:rsidRPr="00C00C67"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AE4DDE" w:rsidRPr="00D01C2E" w:rsidTr="00B370DC">
        <w:trPr>
          <w:trHeight w:val="300"/>
        </w:trPr>
        <w:tc>
          <w:tcPr>
            <w:tcW w:w="2127" w:type="dxa"/>
            <w:tcBorders>
              <w:top w:val="nil"/>
              <w:bottom w:val="single" w:sz="4" w:space="0" w:color="auto"/>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p>
        </w:tc>
        <w:tc>
          <w:tcPr>
            <w:tcW w:w="3544" w:type="dxa"/>
            <w:tcBorders>
              <w:bottom w:val="single" w:sz="4" w:space="0" w:color="auto"/>
            </w:tcBorders>
          </w:tcPr>
          <w:p w:rsidR="00AE4DDE" w:rsidRPr="0032290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VAT</w:t>
            </w:r>
          </w:p>
        </w:tc>
        <w:tc>
          <w:tcPr>
            <w:tcW w:w="5812" w:type="dxa"/>
            <w:tcBorders>
              <w:bottom w:val="single" w:sz="4" w:space="0" w:color="auto"/>
            </w:tcBorders>
            <w:shd w:val="clear" w:color="auto" w:fill="auto"/>
            <w:noWrap/>
          </w:tcPr>
          <w:p w:rsidR="00AE4DDE" w:rsidRPr="0032290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Risk and control evaluation of the controls in place, with periodic compliance testing.</w:t>
            </w:r>
          </w:p>
        </w:tc>
        <w:tc>
          <w:tcPr>
            <w:tcW w:w="2976" w:type="dxa"/>
            <w:tcBorders>
              <w:top w:val="single" w:sz="4" w:space="0" w:color="auto"/>
              <w:bottom w:val="single" w:sz="4" w:space="0" w:color="auto"/>
            </w:tcBorders>
          </w:tcPr>
          <w:p w:rsidR="00AE4DDE" w:rsidRPr="0032290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Coverage of controls across the organisation</w:t>
            </w:r>
          </w:p>
        </w:tc>
      </w:tr>
      <w:tr w:rsidR="00AE4DDE" w:rsidRPr="00D01C2E" w:rsidTr="00B370DC">
        <w:trPr>
          <w:trHeight w:val="300"/>
        </w:trPr>
        <w:tc>
          <w:tcPr>
            <w:tcW w:w="2127" w:type="dxa"/>
            <w:tcBorders>
              <w:top w:val="single" w:sz="4" w:space="0" w:color="auto"/>
              <w:left w:val="single" w:sz="4" w:space="0" w:color="auto"/>
              <w:bottom w:val="nil"/>
              <w:right w:val="single" w:sz="4" w:space="0" w:color="auto"/>
            </w:tcBorders>
            <w:shd w:val="clear" w:color="auto" w:fill="auto"/>
            <w:noWrap/>
            <w:hideMark/>
          </w:tcPr>
          <w:p w:rsidR="00AE4DDE" w:rsidRPr="00F568DF" w:rsidRDefault="00AE4DDE" w:rsidP="00AE4DDE">
            <w:pPr>
              <w:spacing w:before="60" w:after="60" w:line="240" w:lineRule="auto"/>
              <w:rPr>
                <w:rFonts w:ascii="Arial" w:eastAsia="Times New Roman" w:hAnsi="Arial" w:cs="Arial"/>
                <w:color w:val="000000"/>
                <w:lang w:eastAsia="en-GB"/>
              </w:rPr>
            </w:pPr>
            <w:r w:rsidRPr="00AD7DDD">
              <w:rPr>
                <w:rFonts w:ascii="Arial" w:eastAsia="Times New Roman" w:hAnsi="Arial" w:cs="Arial"/>
                <w:color w:val="000000"/>
                <w:lang w:eastAsia="en-GB"/>
              </w:rPr>
              <w:t>Investment</w:t>
            </w:r>
          </w:p>
        </w:tc>
        <w:tc>
          <w:tcPr>
            <w:tcW w:w="3544" w:type="dxa"/>
            <w:tcBorders>
              <w:top w:val="single" w:sz="4" w:space="0" w:color="auto"/>
              <w:left w:val="single" w:sz="4" w:space="0" w:color="auto"/>
              <w:bottom w:val="single" w:sz="4" w:space="0" w:color="auto"/>
              <w:right w:val="single" w:sz="4" w:space="0" w:color="auto"/>
            </w:tcBorders>
          </w:tcPr>
          <w:p w:rsidR="00AE4DDE" w:rsidRPr="00AD7DDD"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Implementation of the treasury management strategy, including refinancing the council's debt</w:t>
            </w:r>
          </w:p>
        </w:tc>
        <w:tc>
          <w:tcPr>
            <w:tcW w:w="5812" w:type="dxa"/>
            <w:tcBorders>
              <w:top w:val="single" w:sz="4" w:space="0" w:color="auto"/>
              <w:left w:val="single" w:sz="4" w:space="0" w:color="auto"/>
              <w:bottom w:val="single" w:sz="4" w:space="0" w:color="auto"/>
              <w:right w:val="single" w:sz="4" w:space="0" w:color="auto"/>
            </w:tcBorders>
            <w:shd w:val="clear" w:color="auto" w:fill="auto"/>
            <w:noWrap/>
            <w:hideMark/>
          </w:tcPr>
          <w:p w:rsidR="00AE4DDE" w:rsidRPr="00F568DF"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Compliance testing of operational policies and procedures, and work with management to understand the nature of the representations being given to lenders and credit rating agencies.</w:t>
            </w:r>
          </w:p>
        </w:tc>
        <w:tc>
          <w:tcPr>
            <w:tcW w:w="2976" w:type="dxa"/>
            <w:tcBorders>
              <w:top w:val="single" w:sz="4" w:space="0" w:color="auto"/>
              <w:left w:val="single" w:sz="4" w:space="0" w:color="auto"/>
              <w:bottom w:val="single" w:sz="4" w:space="0" w:color="auto"/>
              <w:right w:val="single" w:sz="4" w:space="0" w:color="auto"/>
            </w:tcBorders>
          </w:tcPr>
          <w:p w:rsidR="00AE4DDE" w:rsidRPr="00F568DF"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AE4DDE" w:rsidRPr="00D01C2E" w:rsidTr="00847734">
        <w:trPr>
          <w:trHeight w:val="300"/>
        </w:trPr>
        <w:tc>
          <w:tcPr>
            <w:tcW w:w="2127" w:type="dxa"/>
            <w:tcBorders>
              <w:top w:val="nil"/>
              <w:left w:val="single" w:sz="4" w:space="0" w:color="auto"/>
              <w:bottom w:val="single" w:sz="4" w:space="0" w:color="auto"/>
              <w:right w:val="single" w:sz="4" w:space="0" w:color="auto"/>
            </w:tcBorders>
            <w:shd w:val="clear" w:color="auto" w:fill="auto"/>
            <w:noWrap/>
            <w:hideMark/>
          </w:tcPr>
          <w:p w:rsidR="00AE4DDE" w:rsidRPr="00D01C2E" w:rsidRDefault="00AE4DDE" w:rsidP="00AE4DDE">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AE4DDE" w:rsidRPr="00AD7DDD" w:rsidRDefault="00AE4DDE" w:rsidP="00076085">
            <w:pPr>
              <w:spacing w:before="60" w:after="60" w:line="240" w:lineRule="auto"/>
              <w:rPr>
                <w:rFonts w:ascii="Arial" w:eastAsia="Times New Roman" w:hAnsi="Arial" w:cs="Arial"/>
                <w:color w:val="000000"/>
                <w:lang w:eastAsia="en-GB"/>
              </w:rPr>
            </w:pPr>
            <w:r w:rsidRPr="00AD7DDD">
              <w:rPr>
                <w:rFonts w:ascii="Arial" w:eastAsia="Times New Roman" w:hAnsi="Arial" w:cs="Arial"/>
                <w:color w:val="000000"/>
                <w:lang w:eastAsia="en-GB"/>
              </w:rPr>
              <w:t>Compliance with borrowing li</w:t>
            </w:r>
            <w:r>
              <w:rPr>
                <w:rFonts w:ascii="Arial" w:eastAsia="Times New Roman" w:hAnsi="Arial" w:cs="Arial"/>
                <w:color w:val="000000"/>
                <w:lang w:eastAsia="en-GB"/>
              </w:rPr>
              <w:t xml:space="preserve">mits and any other restrictions on </w:t>
            </w:r>
            <w:r w:rsidR="00076085">
              <w:rPr>
                <w:rFonts w:ascii="Arial" w:eastAsia="Times New Roman" w:hAnsi="Arial" w:cs="Arial"/>
                <w:color w:val="000000"/>
                <w:lang w:eastAsia="en-GB"/>
              </w:rPr>
              <w:t>investment</w:t>
            </w:r>
          </w:p>
        </w:tc>
        <w:tc>
          <w:tcPr>
            <w:tcW w:w="5812" w:type="dxa"/>
            <w:tcBorders>
              <w:top w:val="single" w:sz="4" w:space="0" w:color="auto"/>
              <w:left w:val="single" w:sz="4" w:space="0" w:color="auto"/>
              <w:bottom w:val="single" w:sz="4" w:space="0" w:color="auto"/>
              <w:right w:val="single" w:sz="4" w:space="0" w:color="auto"/>
            </w:tcBorders>
            <w:shd w:val="clear" w:color="auto" w:fill="auto"/>
            <w:noWrap/>
            <w:hideMark/>
          </w:tcPr>
          <w:p w:rsidR="00AE4DDE" w:rsidRPr="00F568DF"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Evaluation of the in-service compliance programme and management's responses to its findings.</w:t>
            </w:r>
          </w:p>
        </w:tc>
        <w:tc>
          <w:tcPr>
            <w:tcW w:w="2976" w:type="dxa"/>
            <w:tcBorders>
              <w:top w:val="single" w:sz="4" w:space="0" w:color="auto"/>
              <w:left w:val="single" w:sz="4" w:space="0" w:color="auto"/>
              <w:bottom w:val="single" w:sz="4" w:space="0" w:color="auto"/>
              <w:right w:val="single" w:sz="4" w:space="0" w:color="auto"/>
            </w:tcBorders>
          </w:tcPr>
          <w:p w:rsidR="00AE4DDE" w:rsidRPr="00F568DF"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AE4DDE" w:rsidRPr="00D01C2E" w:rsidTr="00847734">
        <w:trPr>
          <w:trHeight w:val="300"/>
        </w:trPr>
        <w:tc>
          <w:tcPr>
            <w:tcW w:w="2127" w:type="dxa"/>
            <w:tcBorders>
              <w:bottom w:val="single" w:sz="4" w:space="0" w:color="auto"/>
            </w:tcBorders>
            <w:shd w:val="clear" w:color="auto" w:fill="auto"/>
            <w:noWrap/>
            <w:hideMark/>
          </w:tcPr>
          <w:p w:rsidR="00AE4DDE" w:rsidRPr="00F568DF" w:rsidRDefault="00AE4DDE" w:rsidP="00AE4DDE">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P</w:t>
            </w:r>
            <w:r w:rsidRPr="00F568DF">
              <w:rPr>
                <w:rFonts w:ascii="Arial" w:eastAsia="Times New Roman" w:hAnsi="Arial" w:cs="Arial"/>
                <w:color w:val="000000"/>
                <w:lang w:eastAsia="en-GB"/>
              </w:rPr>
              <w:t>rocurement</w:t>
            </w:r>
          </w:p>
        </w:tc>
        <w:tc>
          <w:tcPr>
            <w:tcW w:w="3544" w:type="dxa"/>
          </w:tcPr>
          <w:p w:rsidR="00AE4DDE" w:rsidRPr="00FD5224" w:rsidRDefault="00AE4DDE" w:rsidP="00076085">
            <w:pPr>
              <w:spacing w:before="60" w:after="60" w:line="240" w:lineRule="auto"/>
              <w:rPr>
                <w:rFonts w:ascii="Arial" w:eastAsia="Times New Roman" w:hAnsi="Arial" w:cs="Arial"/>
                <w:color w:val="000000"/>
                <w:lang w:eastAsia="en-GB"/>
              </w:rPr>
            </w:pPr>
            <w:r w:rsidRPr="00FD5224">
              <w:rPr>
                <w:rFonts w:ascii="Arial" w:eastAsia="Times New Roman" w:hAnsi="Arial" w:cs="Arial"/>
                <w:color w:val="000000"/>
                <w:lang w:eastAsia="en-GB"/>
              </w:rPr>
              <w:t>Central procureme</w:t>
            </w:r>
            <w:r w:rsidR="00076085">
              <w:rPr>
                <w:rFonts w:ascii="Arial" w:eastAsia="Times New Roman" w:hAnsi="Arial" w:cs="Arial"/>
                <w:color w:val="000000"/>
                <w:lang w:eastAsia="en-GB"/>
              </w:rPr>
              <w:t xml:space="preserve">nt: compliance with legislation, </w:t>
            </w:r>
            <w:r w:rsidRPr="00FD5224">
              <w:rPr>
                <w:rFonts w:ascii="Arial" w:eastAsia="Times New Roman" w:hAnsi="Arial" w:cs="Arial"/>
                <w:color w:val="000000"/>
                <w:lang w:eastAsia="en-GB"/>
              </w:rPr>
              <w:t xml:space="preserve">financial </w:t>
            </w:r>
            <w:r>
              <w:rPr>
                <w:rFonts w:ascii="Arial" w:eastAsia="Times New Roman" w:hAnsi="Arial" w:cs="Arial"/>
                <w:color w:val="000000"/>
                <w:lang w:eastAsia="en-GB"/>
              </w:rPr>
              <w:t>regulations and standing orders</w:t>
            </w:r>
          </w:p>
        </w:tc>
        <w:tc>
          <w:tcPr>
            <w:tcW w:w="5812" w:type="dxa"/>
            <w:shd w:val="clear" w:color="auto" w:fill="auto"/>
            <w:noWrap/>
          </w:tcPr>
          <w:p w:rsidR="00AE4DDE" w:rsidRPr="00FD5224" w:rsidRDefault="00AE4DDE" w:rsidP="00AE4DDE">
            <w:pPr>
              <w:spacing w:before="60" w:after="60" w:line="240" w:lineRule="auto"/>
              <w:rPr>
                <w:rFonts w:ascii="Arial" w:eastAsia="Times New Roman" w:hAnsi="Arial" w:cs="Arial"/>
                <w:color w:val="000000"/>
                <w:lang w:eastAsia="en-GB"/>
              </w:rPr>
            </w:pPr>
            <w:r w:rsidRPr="00FD5224">
              <w:rPr>
                <w:rFonts w:ascii="Arial" w:eastAsia="Times New Roman" w:hAnsi="Arial" w:cs="Arial"/>
                <w:color w:val="000000"/>
                <w:lang w:eastAsia="en-GB"/>
              </w:rPr>
              <w:t>R</w:t>
            </w:r>
            <w:r>
              <w:rPr>
                <w:rFonts w:ascii="Arial" w:eastAsia="Times New Roman" w:hAnsi="Arial" w:cs="Arial"/>
                <w:color w:val="000000"/>
                <w:lang w:eastAsia="en-GB"/>
              </w:rPr>
              <w:t>isk and control evaluation with annual compliance testing.</w:t>
            </w:r>
          </w:p>
        </w:tc>
        <w:tc>
          <w:tcPr>
            <w:tcW w:w="2976" w:type="dxa"/>
          </w:tcPr>
          <w:p w:rsidR="00AE4DDE" w:rsidRPr="00FD5224"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AE4DDE" w:rsidRPr="00D01C2E" w:rsidTr="00847734">
        <w:trPr>
          <w:trHeight w:val="300"/>
        </w:trPr>
        <w:tc>
          <w:tcPr>
            <w:tcW w:w="2127" w:type="dxa"/>
            <w:tcBorders>
              <w:top w:val="single" w:sz="4" w:space="0" w:color="auto"/>
              <w:bottom w:val="nil"/>
            </w:tcBorders>
            <w:shd w:val="clear" w:color="auto" w:fill="auto"/>
            <w:noWrap/>
            <w:hideMark/>
          </w:tcPr>
          <w:p w:rsidR="00AE4DDE" w:rsidRPr="00F568DF" w:rsidRDefault="00AE4DDE" w:rsidP="00AE4DDE">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P</w:t>
            </w:r>
            <w:r w:rsidRPr="00F568DF">
              <w:rPr>
                <w:rFonts w:ascii="Arial" w:eastAsia="Times New Roman" w:hAnsi="Arial" w:cs="Arial"/>
                <w:color w:val="000000"/>
                <w:lang w:eastAsia="en-GB"/>
              </w:rPr>
              <w:t>ayroll</w:t>
            </w:r>
            <w:r>
              <w:rPr>
                <w:rFonts w:ascii="Arial" w:eastAsia="Times New Roman" w:hAnsi="Arial" w:cs="Arial"/>
                <w:color w:val="000000"/>
                <w:lang w:eastAsia="en-GB"/>
              </w:rPr>
              <w:t xml:space="preserve"> processing</w:t>
            </w:r>
          </w:p>
        </w:tc>
        <w:tc>
          <w:tcPr>
            <w:tcW w:w="3544" w:type="dxa"/>
            <w:tcBorders>
              <w:top w:val="nil"/>
            </w:tcBorders>
          </w:tcPr>
          <w:p w:rsidR="00AE4DDE" w:rsidRPr="00FD5224" w:rsidRDefault="00AE4DDE" w:rsidP="00076085">
            <w:pPr>
              <w:spacing w:before="60" w:after="60" w:line="240" w:lineRule="auto"/>
              <w:rPr>
                <w:rFonts w:ascii="Arial" w:eastAsia="Times New Roman" w:hAnsi="Arial" w:cs="Arial"/>
                <w:color w:val="000000"/>
                <w:lang w:eastAsia="en-GB"/>
              </w:rPr>
            </w:pPr>
            <w:r w:rsidRPr="00FD5224">
              <w:rPr>
                <w:rFonts w:ascii="Arial" w:eastAsia="Times New Roman" w:hAnsi="Arial" w:cs="Arial"/>
                <w:color w:val="000000"/>
                <w:lang w:eastAsia="en-GB"/>
              </w:rPr>
              <w:t xml:space="preserve">Effectiveness of inputs to the system: the inputs required </w:t>
            </w:r>
            <w:r w:rsidR="00076085">
              <w:rPr>
                <w:rFonts w:ascii="Arial" w:eastAsia="Times New Roman" w:hAnsi="Arial" w:cs="Arial"/>
                <w:color w:val="000000"/>
                <w:lang w:eastAsia="en-GB"/>
              </w:rPr>
              <w:t>and how they are processed</w:t>
            </w:r>
          </w:p>
        </w:tc>
        <w:tc>
          <w:tcPr>
            <w:tcW w:w="5812" w:type="dxa"/>
            <w:tcBorders>
              <w:top w:val="nil"/>
            </w:tcBorders>
            <w:shd w:val="clear" w:color="auto" w:fill="auto"/>
            <w:noWrap/>
            <w:hideMark/>
          </w:tcPr>
          <w:p w:rsidR="00AE4DDE" w:rsidRPr="00FD5224"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Risk and control evaluation </w:t>
            </w:r>
            <w:r w:rsidRPr="00FD5224">
              <w:rPr>
                <w:rFonts w:ascii="Arial" w:eastAsia="Times New Roman" w:hAnsi="Arial" w:cs="Arial"/>
                <w:color w:val="000000"/>
                <w:lang w:eastAsia="en-GB"/>
              </w:rPr>
              <w:t>focussed on system inputs.</w:t>
            </w:r>
          </w:p>
        </w:tc>
        <w:tc>
          <w:tcPr>
            <w:tcW w:w="2976" w:type="dxa"/>
            <w:tcBorders>
              <w:top w:val="nil"/>
            </w:tcBorders>
          </w:tcPr>
          <w:p w:rsidR="00AE4DDE" w:rsidRPr="00FD5224"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significant risks in a number of individual instances</w:t>
            </w:r>
          </w:p>
        </w:tc>
      </w:tr>
      <w:tr w:rsidR="00AE4DDE" w:rsidRPr="00D01C2E" w:rsidTr="007A5720">
        <w:trPr>
          <w:trHeight w:val="300"/>
        </w:trPr>
        <w:tc>
          <w:tcPr>
            <w:tcW w:w="2127" w:type="dxa"/>
            <w:tcBorders>
              <w:top w:val="nil"/>
              <w:bottom w:val="single" w:sz="4" w:space="0" w:color="auto"/>
            </w:tcBorders>
            <w:shd w:val="clear" w:color="auto" w:fill="auto"/>
            <w:noWrap/>
          </w:tcPr>
          <w:p w:rsidR="00AE4DDE" w:rsidRPr="00D01C2E" w:rsidRDefault="00AE4DDE" w:rsidP="00AE4DDE">
            <w:pPr>
              <w:spacing w:before="60" w:after="60" w:line="240" w:lineRule="auto"/>
              <w:rPr>
                <w:rFonts w:ascii="Arial" w:eastAsia="Times New Roman" w:hAnsi="Arial" w:cs="Arial"/>
                <w:color w:val="000000"/>
                <w:lang w:eastAsia="en-GB"/>
              </w:rPr>
            </w:pPr>
          </w:p>
        </w:tc>
        <w:tc>
          <w:tcPr>
            <w:tcW w:w="3544" w:type="dxa"/>
          </w:tcPr>
          <w:p w:rsidR="00AE4DDE" w:rsidRPr="00FD5224" w:rsidRDefault="00AE4DDE" w:rsidP="00AE4DDE">
            <w:pPr>
              <w:spacing w:before="60" w:after="60" w:line="240" w:lineRule="auto"/>
              <w:rPr>
                <w:rFonts w:ascii="Arial" w:eastAsia="Times New Roman" w:hAnsi="Arial" w:cs="Arial"/>
                <w:color w:val="000000"/>
                <w:lang w:eastAsia="en-GB"/>
              </w:rPr>
            </w:pPr>
            <w:r w:rsidRPr="00FD5224">
              <w:rPr>
                <w:rFonts w:ascii="Arial" w:eastAsia="Times New Roman" w:hAnsi="Arial" w:cs="Arial"/>
                <w:color w:val="000000"/>
                <w:lang w:eastAsia="en-GB"/>
              </w:rPr>
              <w:t xml:space="preserve">Processing of payments by BTLS, using </w:t>
            </w:r>
            <w:r w:rsidR="00076085">
              <w:rPr>
                <w:rFonts w:ascii="Arial" w:eastAsia="Times New Roman" w:hAnsi="Arial" w:cs="Arial"/>
                <w:color w:val="000000"/>
                <w:lang w:eastAsia="en-GB"/>
              </w:rPr>
              <w:t>information supplied by LCC</w:t>
            </w:r>
          </w:p>
        </w:tc>
        <w:tc>
          <w:tcPr>
            <w:tcW w:w="5812" w:type="dxa"/>
            <w:shd w:val="clear" w:color="auto" w:fill="auto"/>
            <w:noWrap/>
          </w:tcPr>
          <w:p w:rsidR="00AE4DDE" w:rsidRPr="00FD5224"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Risk and control evaluation, with </w:t>
            </w:r>
            <w:r w:rsidRPr="00FD5224">
              <w:rPr>
                <w:rFonts w:ascii="Arial" w:eastAsia="Times New Roman" w:hAnsi="Arial" w:cs="Arial"/>
                <w:color w:val="000000"/>
                <w:lang w:eastAsia="en-GB"/>
              </w:rPr>
              <w:t>annual compliance testing.</w:t>
            </w:r>
          </w:p>
        </w:tc>
        <w:tc>
          <w:tcPr>
            <w:tcW w:w="2976" w:type="dxa"/>
          </w:tcPr>
          <w:p w:rsidR="00AE4DDE" w:rsidRPr="00FD5224"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significant risks in a number of individual instances</w:t>
            </w:r>
          </w:p>
        </w:tc>
      </w:tr>
      <w:tr w:rsidR="00AE4DDE" w:rsidRPr="00D01C2E" w:rsidTr="003101A4">
        <w:trPr>
          <w:trHeight w:val="300"/>
        </w:trPr>
        <w:tc>
          <w:tcPr>
            <w:tcW w:w="2127" w:type="dxa"/>
            <w:tcBorders>
              <w:bottom w:val="single" w:sz="4" w:space="0" w:color="auto"/>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r w:rsidRPr="00D01C2E">
              <w:rPr>
                <w:rFonts w:ascii="Arial" w:eastAsia="Times New Roman" w:hAnsi="Arial" w:cs="Arial"/>
                <w:color w:val="000000"/>
                <w:lang w:eastAsia="en-GB"/>
              </w:rPr>
              <w:t>H</w:t>
            </w:r>
            <w:r w:rsidRPr="00F568DF">
              <w:rPr>
                <w:rFonts w:ascii="Arial" w:eastAsia="Times New Roman" w:hAnsi="Arial" w:cs="Arial"/>
                <w:color w:val="000000"/>
                <w:lang w:eastAsia="en-GB"/>
              </w:rPr>
              <w:t>uman resources</w:t>
            </w:r>
            <w:r w:rsidR="00B229B4">
              <w:rPr>
                <w:rFonts w:ascii="Arial" w:eastAsia="Times New Roman" w:hAnsi="Arial" w:cs="Arial"/>
                <w:color w:val="000000"/>
                <w:lang w:eastAsia="en-GB"/>
              </w:rPr>
              <w:t xml:space="preserve"> (and finance)</w:t>
            </w:r>
          </w:p>
        </w:tc>
        <w:tc>
          <w:tcPr>
            <w:tcW w:w="3544" w:type="dxa"/>
            <w:tcBorders>
              <w:bottom w:val="single" w:sz="4" w:space="0" w:color="auto"/>
            </w:tcBorders>
          </w:tcPr>
          <w:p w:rsidR="00AE4DDE" w:rsidRPr="00D01C2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Amendments to the council's establishment: completeness, accuracy and currency of records </w:t>
            </w:r>
          </w:p>
        </w:tc>
        <w:tc>
          <w:tcPr>
            <w:tcW w:w="5812" w:type="dxa"/>
            <w:tcBorders>
              <w:bottom w:val="single" w:sz="4" w:space="0" w:color="auto"/>
            </w:tcBorders>
            <w:shd w:val="clear" w:color="auto" w:fill="auto"/>
            <w:noWrap/>
          </w:tcPr>
          <w:p w:rsidR="00AE4DDE" w:rsidRPr="00F568DF" w:rsidRDefault="00AE4DDE" w:rsidP="00B229B4">
            <w:pPr>
              <w:spacing w:before="60" w:after="60" w:line="240" w:lineRule="auto"/>
              <w:rPr>
                <w:rFonts w:ascii="Arial" w:eastAsia="Times New Roman" w:hAnsi="Arial" w:cs="Arial"/>
                <w:color w:val="000000"/>
                <w:lang w:eastAsia="en-GB"/>
              </w:rPr>
            </w:pPr>
            <w:r>
              <w:rPr>
                <w:rFonts w:ascii="Arial" w:hAnsi="Arial" w:cs="Arial"/>
                <w:color w:val="000000"/>
                <w:lang w:eastAsia="en-GB"/>
              </w:rPr>
              <w:t>Risk and control evaluation to ensure that the staff establishment, hierarchies and budgets are aligned, with full compliance testing</w:t>
            </w:r>
            <w:r>
              <w:rPr>
                <w:rFonts w:ascii="Arial" w:eastAsia="Times New Roman" w:hAnsi="Arial" w:cs="Arial"/>
                <w:color w:val="000000"/>
                <w:lang w:eastAsia="en-GB"/>
              </w:rPr>
              <w:t>.</w:t>
            </w:r>
          </w:p>
        </w:tc>
        <w:tc>
          <w:tcPr>
            <w:tcW w:w="2976" w:type="dxa"/>
            <w:tcBorders>
              <w:bottom w:val="single" w:sz="4" w:space="0" w:color="auto"/>
            </w:tcBorders>
          </w:tcPr>
          <w:p w:rsidR="00AE4DD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a significant risk</w:t>
            </w:r>
          </w:p>
        </w:tc>
      </w:tr>
      <w:tr w:rsidR="00AE4DDE" w:rsidRPr="00D01C2E" w:rsidTr="003101A4">
        <w:trPr>
          <w:trHeight w:val="300"/>
        </w:trPr>
        <w:tc>
          <w:tcPr>
            <w:tcW w:w="2127" w:type="dxa"/>
            <w:tcBorders>
              <w:top w:val="nil"/>
              <w:left w:val="single" w:sz="4" w:space="0" w:color="auto"/>
              <w:bottom w:val="nil"/>
              <w:right w:val="single" w:sz="4" w:space="0" w:color="auto"/>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r w:rsidRPr="00F568DF">
              <w:rPr>
                <w:rFonts w:ascii="Arial" w:eastAsia="Times New Roman" w:hAnsi="Arial" w:cs="Arial"/>
                <w:color w:val="000000"/>
                <w:lang w:eastAsia="en-GB"/>
              </w:rPr>
              <w:t>ICT</w:t>
            </w:r>
          </w:p>
        </w:tc>
        <w:tc>
          <w:tcPr>
            <w:tcW w:w="3544" w:type="dxa"/>
            <w:tcBorders>
              <w:top w:val="nil"/>
              <w:left w:val="single" w:sz="4" w:space="0" w:color="auto"/>
              <w:bottom w:val="single" w:sz="4" w:space="0" w:color="auto"/>
              <w:right w:val="single" w:sz="4" w:space="0" w:color="auto"/>
            </w:tcBorders>
          </w:tcPr>
          <w:p w:rsidR="00AE4DDE" w:rsidRPr="00D01C2E" w:rsidRDefault="00AE4DDE" w:rsidP="00AE4DDE">
            <w:pPr>
              <w:spacing w:before="60" w:after="60" w:line="240" w:lineRule="auto"/>
              <w:rPr>
                <w:rFonts w:ascii="Arial" w:eastAsia="Times New Roman" w:hAnsi="Arial" w:cs="Arial"/>
                <w:color w:val="000000"/>
                <w:lang w:eastAsia="en-GB"/>
              </w:rPr>
            </w:pPr>
            <w:r w:rsidRPr="00FD5224">
              <w:rPr>
                <w:rFonts w:ascii="Arial" w:eastAsia="Times New Roman" w:hAnsi="Arial" w:cs="Arial"/>
                <w:color w:val="000000"/>
                <w:lang w:eastAsia="en-GB"/>
              </w:rPr>
              <w:t>General IT controls</w:t>
            </w:r>
          </w:p>
        </w:tc>
        <w:tc>
          <w:tcPr>
            <w:tcW w:w="5812" w:type="dxa"/>
            <w:vMerge w:val="restart"/>
            <w:tcBorders>
              <w:top w:val="nil"/>
              <w:left w:val="single" w:sz="4" w:space="0" w:color="auto"/>
              <w:right w:val="single" w:sz="4" w:space="0" w:color="auto"/>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External advice is required, and discussions with BTLS, to properly assess the ICT audit work that is appropriate and achievable.</w:t>
            </w:r>
          </w:p>
        </w:tc>
        <w:tc>
          <w:tcPr>
            <w:tcW w:w="2976" w:type="dxa"/>
            <w:vMerge w:val="restart"/>
            <w:tcBorders>
              <w:top w:val="nil"/>
              <w:left w:val="single" w:sz="4" w:space="0" w:color="auto"/>
              <w:right w:val="single" w:sz="4" w:space="0" w:color="auto"/>
            </w:tcBorders>
          </w:tcPr>
          <w:p w:rsidR="00AE4DDE" w:rsidRPr="00F568DF"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Controls to mitigate significant risks</w:t>
            </w:r>
          </w:p>
        </w:tc>
      </w:tr>
      <w:tr w:rsidR="00AE4DDE" w:rsidRPr="00D01C2E" w:rsidTr="003A1071">
        <w:trPr>
          <w:trHeight w:val="300"/>
        </w:trPr>
        <w:tc>
          <w:tcPr>
            <w:tcW w:w="2127" w:type="dxa"/>
            <w:tcBorders>
              <w:top w:val="nil"/>
              <w:left w:val="single" w:sz="4" w:space="0" w:color="auto"/>
              <w:bottom w:val="nil"/>
              <w:right w:val="single" w:sz="4" w:space="0" w:color="auto"/>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AE4DDE" w:rsidRPr="00FD5224"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IT security and continuity planning</w:t>
            </w:r>
          </w:p>
        </w:tc>
        <w:tc>
          <w:tcPr>
            <w:tcW w:w="5812" w:type="dxa"/>
            <w:vMerge/>
            <w:tcBorders>
              <w:left w:val="single" w:sz="4" w:space="0" w:color="auto"/>
              <w:right w:val="single" w:sz="4" w:space="0" w:color="auto"/>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p>
        </w:tc>
        <w:tc>
          <w:tcPr>
            <w:tcW w:w="2976" w:type="dxa"/>
            <w:vMerge/>
            <w:tcBorders>
              <w:left w:val="single" w:sz="4" w:space="0" w:color="auto"/>
              <w:right w:val="single" w:sz="4" w:space="0" w:color="auto"/>
            </w:tcBorders>
          </w:tcPr>
          <w:p w:rsidR="00AE4DDE" w:rsidRPr="00F568DF" w:rsidRDefault="00AE4DDE" w:rsidP="00AE4DDE">
            <w:pPr>
              <w:spacing w:before="60" w:after="60" w:line="240" w:lineRule="auto"/>
              <w:rPr>
                <w:rFonts w:ascii="Arial" w:eastAsia="Times New Roman" w:hAnsi="Arial" w:cs="Arial"/>
                <w:color w:val="000000"/>
                <w:lang w:eastAsia="en-GB"/>
              </w:rPr>
            </w:pPr>
          </w:p>
        </w:tc>
      </w:tr>
      <w:tr w:rsidR="00AE4DDE" w:rsidRPr="00D01C2E" w:rsidTr="00B229B4">
        <w:trPr>
          <w:trHeight w:val="300"/>
        </w:trPr>
        <w:tc>
          <w:tcPr>
            <w:tcW w:w="2127" w:type="dxa"/>
            <w:tcBorders>
              <w:top w:val="nil"/>
              <w:left w:val="single" w:sz="4" w:space="0" w:color="auto"/>
              <w:bottom w:val="single" w:sz="4" w:space="0" w:color="auto"/>
              <w:right w:val="single" w:sz="4" w:space="0" w:color="auto"/>
            </w:tcBorders>
            <w:shd w:val="clear" w:color="auto" w:fill="auto"/>
            <w:noWrap/>
          </w:tcPr>
          <w:p w:rsidR="00AE4DDE" w:rsidRPr="00D01C2E" w:rsidRDefault="00AE4DDE" w:rsidP="00AE4DDE">
            <w:pPr>
              <w:spacing w:before="60" w:after="60" w:line="240" w:lineRule="auto"/>
              <w:rPr>
                <w:rFonts w:ascii="Arial" w:eastAsia="Times New Roman" w:hAnsi="Arial" w:cs="Arial"/>
                <w:color w:val="000000"/>
                <w:lang w:eastAsia="en-GB"/>
              </w:rPr>
            </w:pPr>
          </w:p>
        </w:tc>
        <w:tc>
          <w:tcPr>
            <w:tcW w:w="3544" w:type="dxa"/>
            <w:tcBorders>
              <w:top w:val="single" w:sz="4" w:space="0" w:color="auto"/>
              <w:left w:val="single" w:sz="4" w:space="0" w:color="auto"/>
              <w:bottom w:val="single" w:sz="4" w:space="0" w:color="auto"/>
              <w:right w:val="single" w:sz="4" w:space="0" w:color="auto"/>
            </w:tcBorders>
          </w:tcPr>
          <w:p w:rsidR="00AE4DDE" w:rsidRPr="00FD5224"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Application controls including the new identity management system</w:t>
            </w:r>
          </w:p>
        </w:tc>
        <w:tc>
          <w:tcPr>
            <w:tcW w:w="5812" w:type="dxa"/>
            <w:vMerge/>
            <w:tcBorders>
              <w:left w:val="single" w:sz="4" w:space="0" w:color="auto"/>
              <w:bottom w:val="single" w:sz="4" w:space="0" w:color="auto"/>
              <w:right w:val="single" w:sz="4" w:space="0" w:color="auto"/>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p>
        </w:tc>
        <w:tc>
          <w:tcPr>
            <w:tcW w:w="2976" w:type="dxa"/>
            <w:vMerge/>
            <w:tcBorders>
              <w:left w:val="single" w:sz="4" w:space="0" w:color="auto"/>
              <w:bottom w:val="single" w:sz="4" w:space="0" w:color="auto"/>
              <w:right w:val="single" w:sz="4" w:space="0" w:color="auto"/>
            </w:tcBorders>
          </w:tcPr>
          <w:p w:rsidR="00AE4DDE" w:rsidRPr="00F568DF" w:rsidRDefault="00AE4DDE" w:rsidP="00AE4DDE">
            <w:pPr>
              <w:spacing w:before="60" w:after="60" w:line="240" w:lineRule="auto"/>
              <w:rPr>
                <w:rFonts w:ascii="Arial" w:eastAsia="Times New Roman" w:hAnsi="Arial" w:cs="Arial"/>
                <w:color w:val="000000"/>
                <w:lang w:eastAsia="en-GB"/>
              </w:rPr>
            </w:pPr>
          </w:p>
        </w:tc>
      </w:tr>
      <w:tr w:rsidR="00AE4DDE" w:rsidRPr="00D01C2E" w:rsidTr="00B229B4">
        <w:trPr>
          <w:trHeight w:val="300"/>
        </w:trPr>
        <w:tc>
          <w:tcPr>
            <w:tcW w:w="2127" w:type="dxa"/>
            <w:tcBorders>
              <w:top w:val="single" w:sz="4" w:space="0" w:color="auto"/>
              <w:bottom w:val="double" w:sz="4" w:space="0" w:color="auto"/>
            </w:tcBorders>
            <w:shd w:val="clear" w:color="auto" w:fill="auto"/>
            <w:noWrap/>
          </w:tcPr>
          <w:p w:rsidR="00AE4DDE" w:rsidRPr="00D01C2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All</w:t>
            </w:r>
          </w:p>
        </w:tc>
        <w:tc>
          <w:tcPr>
            <w:tcW w:w="3544" w:type="dxa"/>
            <w:tcBorders>
              <w:top w:val="single" w:sz="4" w:space="0" w:color="auto"/>
              <w:bottom w:val="double" w:sz="4" w:space="0" w:color="auto"/>
            </w:tcBorders>
          </w:tcPr>
          <w:p w:rsidR="00AE4DDE" w:rsidRPr="00D01C2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Completion of agreed action plans</w:t>
            </w:r>
          </w:p>
        </w:tc>
        <w:tc>
          <w:tcPr>
            <w:tcW w:w="5812" w:type="dxa"/>
            <w:tcBorders>
              <w:top w:val="single" w:sz="4" w:space="0" w:color="auto"/>
              <w:bottom w:val="double" w:sz="4" w:space="0" w:color="auto"/>
            </w:tcBorders>
            <w:shd w:val="clear" w:color="auto" w:fill="auto"/>
            <w:noWrap/>
          </w:tcPr>
          <w:p w:rsidR="00AE4DDE" w:rsidRPr="00F568DF"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Follow-up of work initiated during 2016/17. Action plans agreed in respect of earlier audit periods will not be pursued.</w:t>
            </w:r>
          </w:p>
        </w:tc>
        <w:tc>
          <w:tcPr>
            <w:tcW w:w="2976" w:type="dxa"/>
            <w:tcBorders>
              <w:top w:val="single" w:sz="4" w:space="0" w:color="auto"/>
              <w:bottom w:val="double" w:sz="4" w:space="0" w:color="auto"/>
            </w:tcBorders>
          </w:tcPr>
          <w:p w:rsidR="00AE4DDE" w:rsidRPr="00F568DF"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Follow-up as required by professional standards</w:t>
            </w:r>
          </w:p>
        </w:tc>
      </w:tr>
      <w:tr w:rsidR="00AE4DDE" w:rsidRPr="00D01C2E" w:rsidTr="00B370DC">
        <w:trPr>
          <w:trHeight w:val="300"/>
        </w:trPr>
        <w:tc>
          <w:tcPr>
            <w:tcW w:w="2127" w:type="dxa"/>
            <w:tcBorders>
              <w:top w:val="double" w:sz="4" w:space="0" w:color="auto"/>
              <w:bottom w:val="double" w:sz="4" w:space="0" w:color="auto"/>
            </w:tcBorders>
            <w:shd w:val="clear" w:color="auto" w:fill="auto"/>
            <w:noWrap/>
          </w:tcPr>
          <w:p w:rsidR="00AE4DDE" w:rsidRPr="00BC0336"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Various funding streams</w:t>
            </w:r>
          </w:p>
        </w:tc>
        <w:tc>
          <w:tcPr>
            <w:tcW w:w="3544" w:type="dxa"/>
            <w:tcBorders>
              <w:top w:val="double" w:sz="4" w:space="0" w:color="auto"/>
              <w:bottom w:val="double" w:sz="4" w:space="0" w:color="auto"/>
            </w:tcBorders>
          </w:tcPr>
          <w:p w:rsidR="00AE4DDE"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Various: predominantly relating to funding for the former Environment Directorate, plus the Working Together with Families Programme</w:t>
            </w:r>
          </w:p>
        </w:tc>
        <w:tc>
          <w:tcPr>
            <w:tcW w:w="5812" w:type="dxa"/>
            <w:tcBorders>
              <w:top w:val="double" w:sz="4" w:space="0" w:color="auto"/>
              <w:bottom w:val="double" w:sz="4" w:space="0" w:color="auto"/>
            </w:tcBorders>
            <w:shd w:val="clear" w:color="auto" w:fill="auto"/>
            <w:noWrap/>
          </w:tcPr>
          <w:p w:rsidR="00AE4DDE" w:rsidRPr="00837D52" w:rsidRDefault="00AE4DDE" w:rsidP="00AE4DDE">
            <w:pPr>
              <w:spacing w:before="60" w:after="60" w:line="240" w:lineRule="auto"/>
              <w:rPr>
                <w:rFonts w:ascii="Arial" w:hAnsi="Arial" w:cs="Arial"/>
                <w:sz w:val="24"/>
                <w:szCs w:val="24"/>
              </w:rPr>
            </w:pPr>
            <w:r>
              <w:rPr>
                <w:rFonts w:ascii="Arial" w:eastAsia="Times New Roman" w:hAnsi="Arial" w:cs="Arial"/>
                <w:color w:val="000000"/>
                <w:lang w:eastAsia="en-GB"/>
              </w:rPr>
              <w:t>Work</w:t>
            </w:r>
            <w:r w:rsidRPr="00837D52">
              <w:rPr>
                <w:rFonts w:ascii="Arial" w:eastAsia="Times New Roman" w:hAnsi="Arial" w:cs="Arial"/>
                <w:color w:val="000000"/>
                <w:lang w:eastAsia="en-GB"/>
              </w:rPr>
              <w:t xml:space="preserve"> must be undertaken to meet EU and central government departments' grant funding requirements where funding is given on condition that the Internal Audit Service provides assurance to these bodies that their funding has been spent as intended.</w:t>
            </w:r>
          </w:p>
        </w:tc>
        <w:tc>
          <w:tcPr>
            <w:tcW w:w="2976" w:type="dxa"/>
            <w:tcBorders>
              <w:top w:val="double" w:sz="4" w:space="0" w:color="auto"/>
              <w:bottom w:val="double" w:sz="4" w:space="0" w:color="auto"/>
            </w:tcBorders>
          </w:tcPr>
          <w:p w:rsidR="00AE4DDE" w:rsidRPr="00837D52" w:rsidRDefault="00AE4DDE" w:rsidP="00AE4DDE">
            <w:pPr>
              <w:spacing w:before="60" w:after="60" w:line="240" w:lineRule="auto"/>
              <w:rPr>
                <w:rFonts w:ascii="Arial" w:eastAsia="Times New Roman" w:hAnsi="Arial" w:cs="Arial"/>
                <w:color w:val="000000"/>
                <w:lang w:eastAsia="en-GB"/>
              </w:rPr>
            </w:pPr>
            <w:r>
              <w:rPr>
                <w:rFonts w:ascii="Arial" w:eastAsia="Times New Roman" w:hAnsi="Arial" w:cs="Arial"/>
                <w:color w:val="000000"/>
                <w:lang w:eastAsia="en-GB"/>
              </w:rPr>
              <w:t>Requirement to comply with funding terms</w:t>
            </w:r>
          </w:p>
        </w:tc>
      </w:tr>
    </w:tbl>
    <w:p w:rsidR="003F403B" w:rsidRDefault="003F403B" w:rsidP="00B14918">
      <w:pPr>
        <w:rPr>
          <w:rFonts w:ascii="Arial" w:hAnsi="Arial" w:cs="Arial"/>
          <w:sz w:val="24"/>
          <w:szCs w:val="24"/>
        </w:rPr>
      </w:pPr>
    </w:p>
    <w:p w:rsidR="00472F09" w:rsidRPr="00BD1AA4" w:rsidRDefault="00472F09" w:rsidP="00B14918">
      <w:pPr>
        <w:rPr>
          <w:rFonts w:ascii="Arial" w:hAnsi="Arial" w:cs="Arial"/>
          <w:sz w:val="24"/>
          <w:szCs w:val="24"/>
        </w:rPr>
      </w:pPr>
    </w:p>
    <w:sectPr w:rsidR="00472F09" w:rsidRPr="00BD1AA4" w:rsidSect="009F28D0">
      <w:headerReference w:type="default" r:id="rId11"/>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A8" w:rsidRDefault="001E74A8" w:rsidP="00A47E3E">
      <w:pPr>
        <w:spacing w:after="0" w:line="240" w:lineRule="auto"/>
      </w:pPr>
      <w:r>
        <w:separator/>
      </w:r>
    </w:p>
  </w:endnote>
  <w:endnote w:type="continuationSeparator" w:id="0">
    <w:p w:rsidR="001E74A8" w:rsidRDefault="001E74A8" w:rsidP="00A4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A8" w:rsidRPr="00A47E3E" w:rsidRDefault="001E74A8">
    <w:pPr>
      <w:pStyle w:val="Footer"/>
      <w:jc w:val="right"/>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A8" w:rsidRDefault="001E74A8" w:rsidP="00A47E3E">
      <w:pPr>
        <w:spacing w:after="0" w:line="240" w:lineRule="auto"/>
      </w:pPr>
      <w:r>
        <w:separator/>
      </w:r>
    </w:p>
  </w:footnote>
  <w:footnote w:type="continuationSeparator" w:id="0">
    <w:p w:rsidR="001E74A8" w:rsidRDefault="001E74A8" w:rsidP="00A47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A8" w:rsidRPr="00ED37DA" w:rsidRDefault="001E74A8" w:rsidP="001E74A8">
    <w:pPr>
      <w:rPr>
        <w:rFonts w:ascii="Arial" w:hAnsi="Arial" w:cs="Arial"/>
        <w:b/>
        <w:sz w:val="20"/>
        <w:szCs w:val="20"/>
      </w:rPr>
    </w:pPr>
    <w:r w:rsidRPr="00ED37DA">
      <w:rPr>
        <w:rFonts w:ascii="Arial" w:hAnsi="Arial" w:cs="Arial"/>
        <w:b/>
        <w:sz w:val="20"/>
        <w:szCs w:val="20"/>
      </w:rPr>
      <w:t>Strategic internal audit plan: 2015/16, 2016/17 and beyond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34B" w:rsidRPr="006E234B" w:rsidRDefault="006E234B" w:rsidP="006E234B">
    <w:pPr>
      <w:pStyle w:val="Header"/>
      <w:jc w:val="right"/>
      <w:rPr>
        <w:rFonts w:ascii="Arial" w:hAnsi="Arial" w:cs="Arial"/>
        <w:b/>
        <w:sz w:val="24"/>
        <w:szCs w:val="24"/>
      </w:rPr>
    </w:pPr>
    <w:r w:rsidRPr="006E234B">
      <w:rPr>
        <w:rFonts w:ascii="Arial" w:hAnsi="Arial" w:cs="Arial"/>
        <w:b/>
        <w:sz w:val="24"/>
        <w:szCs w:val="24"/>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A8" w:rsidRPr="00ED37DA" w:rsidRDefault="001E74A8" w:rsidP="001E74A8">
    <w:pPr>
      <w:ind w:left="-284"/>
      <w:rPr>
        <w:rFonts w:ascii="Arial" w:hAnsi="Arial" w:cs="Arial"/>
        <w:b/>
        <w:sz w:val="20"/>
        <w:szCs w:val="20"/>
      </w:rPr>
    </w:pPr>
    <w:r w:rsidRPr="00ED37DA">
      <w:rPr>
        <w:rFonts w:ascii="Arial" w:hAnsi="Arial" w:cs="Arial"/>
        <w:b/>
        <w:sz w:val="20"/>
        <w:szCs w:val="20"/>
      </w:rPr>
      <w:t>Strategic internal audit plan: 2015/16, 2016/17 and beyond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317D0"/>
    <w:multiLevelType w:val="hybridMultilevel"/>
    <w:tmpl w:val="8338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B66DD"/>
    <w:multiLevelType w:val="hybridMultilevel"/>
    <w:tmpl w:val="E5B62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5181484"/>
    <w:multiLevelType w:val="hybridMultilevel"/>
    <w:tmpl w:val="7E8068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6EA906D6"/>
    <w:multiLevelType w:val="hybridMultilevel"/>
    <w:tmpl w:val="C410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B015E"/>
    <w:multiLevelType w:val="hybridMultilevel"/>
    <w:tmpl w:val="A008FEA0"/>
    <w:lvl w:ilvl="0" w:tplc="08090001">
      <w:start w:val="1"/>
      <w:numFmt w:val="bullet"/>
      <w:lvlText w:val=""/>
      <w:lvlJc w:val="left"/>
      <w:pPr>
        <w:ind w:left="720" w:hanging="360"/>
      </w:pPr>
      <w:rPr>
        <w:rFonts w:ascii="Symbol" w:hAnsi="Symbol" w:hint="default"/>
      </w:rPr>
    </w:lvl>
    <w:lvl w:ilvl="1" w:tplc="BBFC5CF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21F8D"/>
    <w:multiLevelType w:val="multilevel"/>
    <w:tmpl w:val="E7FC5986"/>
    <w:lvl w:ilvl="0">
      <w:start w:val="1"/>
      <w:numFmt w:val="decimal"/>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7720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3747F9"/>
    <w:multiLevelType w:val="hybridMultilevel"/>
    <w:tmpl w:val="4404BD80"/>
    <w:lvl w:ilvl="0" w:tplc="8D8EFD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7"/>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A0"/>
    <w:rsid w:val="000026AB"/>
    <w:rsid w:val="00006A60"/>
    <w:rsid w:val="00032FC0"/>
    <w:rsid w:val="00037139"/>
    <w:rsid w:val="000415CF"/>
    <w:rsid w:val="00046945"/>
    <w:rsid w:val="00054457"/>
    <w:rsid w:val="00060DAF"/>
    <w:rsid w:val="00064D38"/>
    <w:rsid w:val="000717D7"/>
    <w:rsid w:val="00076085"/>
    <w:rsid w:val="0008251B"/>
    <w:rsid w:val="000836FC"/>
    <w:rsid w:val="00092A0F"/>
    <w:rsid w:val="000B7A95"/>
    <w:rsid w:val="000C244F"/>
    <w:rsid w:val="000C3403"/>
    <w:rsid w:val="000D0D06"/>
    <w:rsid w:val="000F087B"/>
    <w:rsid w:val="000F53A1"/>
    <w:rsid w:val="00106F0A"/>
    <w:rsid w:val="0012020E"/>
    <w:rsid w:val="00127073"/>
    <w:rsid w:val="00133B54"/>
    <w:rsid w:val="00141BA3"/>
    <w:rsid w:val="00141FC5"/>
    <w:rsid w:val="0015209A"/>
    <w:rsid w:val="00160B5E"/>
    <w:rsid w:val="00167E25"/>
    <w:rsid w:val="00170AC8"/>
    <w:rsid w:val="00171CDA"/>
    <w:rsid w:val="001727EC"/>
    <w:rsid w:val="001805B9"/>
    <w:rsid w:val="001C308D"/>
    <w:rsid w:val="001C48AA"/>
    <w:rsid w:val="001C68B1"/>
    <w:rsid w:val="001C6943"/>
    <w:rsid w:val="001D7175"/>
    <w:rsid w:val="001E42B0"/>
    <w:rsid w:val="001E74A8"/>
    <w:rsid w:val="002117B2"/>
    <w:rsid w:val="00213809"/>
    <w:rsid w:val="00217DC7"/>
    <w:rsid w:val="00220702"/>
    <w:rsid w:val="002254F4"/>
    <w:rsid w:val="00240934"/>
    <w:rsid w:val="00243698"/>
    <w:rsid w:val="00246258"/>
    <w:rsid w:val="0025407B"/>
    <w:rsid w:val="002557C9"/>
    <w:rsid w:val="002563AF"/>
    <w:rsid w:val="0026563F"/>
    <w:rsid w:val="00285999"/>
    <w:rsid w:val="00291E02"/>
    <w:rsid w:val="002978FD"/>
    <w:rsid w:val="002A55E2"/>
    <w:rsid w:val="002A7AA0"/>
    <w:rsid w:val="002B0FDA"/>
    <w:rsid w:val="002B654D"/>
    <w:rsid w:val="002C3CF4"/>
    <w:rsid w:val="002C6B9C"/>
    <w:rsid w:val="002C7378"/>
    <w:rsid w:val="002D0F26"/>
    <w:rsid w:val="002D5385"/>
    <w:rsid w:val="002E3110"/>
    <w:rsid w:val="002E6DBE"/>
    <w:rsid w:val="003001A6"/>
    <w:rsid w:val="003032D6"/>
    <w:rsid w:val="003101A4"/>
    <w:rsid w:val="00311D5F"/>
    <w:rsid w:val="0031363E"/>
    <w:rsid w:val="00313B2A"/>
    <w:rsid w:val="00313DFB"/>
    <w:rsid w:val="00314ED2"/>
    <w:rsid w:val="00317F03"/>
    <w:rsid w:val="0032290E"/>
    <w:rsid w:val="00331408"/>
    <w:rsid w:val="00332D1D"/>
    <w:rsid w:val="00346BAA"/>
    <w:rsid w:val="00364ECF"/>
    <w:rsid w:val="00377E89"/>
    <w:rsid w:val="0038001D"/>
    <w:rsid w:val="00383133"/>
    <w:rsid w:val="003875AB"/>
    <w:rsid w:val="0039479F"/>
    <w:rsid w:val="00395673"/>
    <w:rsid w:val="003A1071"/>
    <w:rsid w:val="003A2E97"/>
    <w:rsid w:val="003B14DD"/>
    <w:rsid w:val="003B57CF"/>
    <w:rsid w:val="003B62B3"/>
    <w:rsid w:val="003C2063"/>
    <w:rsid w:val="003C6CAC"/>
    <w:rsid w:val="003C74BB"/>
    <w:rsid w:val="003D2BF6"/>
    <w:rsid w:val="003D59CC"/>
    <w:rsid w:val="003E058E"/>
    <w:rsid w:val="003E22A2"/>
    <w:rsid w:val="003E4C00"/>
    <w:rsid w:val="003F403B"/>
    <w:rsid w:val="004278F2"/>
    <w:rsid w:val="00430DAA"/>
    <w:rsid w:val="00445963"/>
    <w:rsid w:val="004606BE"/>
    <w:rsid w:val="00471895"/>
    <w:rsid w:val="00472F09"/>
    <w:rsid w:val="00482C7A"/>
    <w:rsid w:val="00494E78"/>
    <w:rsid w:val="004A5314"/>
    <w:rsid w:val="004C318C"/>
    <w:rsid w:val="004C4F03"/>
    <w:rsid w:val="004E4270"/>
    <w:rsid w:val="004F145F"/>
    <w:rsid w:val="005066E7"/>
    <w:rsid w:val="0051187A"/>
    <w:rsid w:val="00513D10"/>
    <w:rsid w:val="00517DC2"/>
    <w:rsid w:val="00523F54"/>
    <w:rsid w:val="00531D4A"/>
    <w:rsid w:val="00531E6A"/>
    <w:rsid w:val="00535676"/>
    <w:rsid w:val="00536886"/>
    <w:rsid w:val="00546589"/>
    <w:rsid w:val="0055111B"/>
    <w:rsid w:val="0057214C"/>
    <w:rsid w:val="00582F65"/>
    <w:rsid w:val="00586F3A"/>
    <w:rsid w:val="0059266B"/>
    <w:rsid w:val="00594D9B"/>
    <w:rsid w:val="005B63F0"/>
    <w:rsid w:val="005D0A40"/>
    <w:rsid w:val="005E074E"/>
    <w:rsid w:val="005E7721"/>
    <w:rsid w:val="005F0D8A"/>
    <w:rsid w:val="005F5C7C"/>
    <w:rsid w:val="006149EB"/>
    <w:rsid w:val="00615C8C"/>
    <w:rsid w:val="00616E89"/>
    <w:rsid w:val="00631ACC"/>
    <w:rsid w:val="00632CC7"/>
    <w:rsid w:val="006339BD"/>
    <w:rsid w:val="00646646"/>
    <w:rsid w:val="006541B9"/>
    <w:rsid w:val="00662711"/>
    <w:rsid w:val="00663EFC"/>
    <w:rsid w:val="00673B8C"/>
    <w:rsid w:val="00685A84"/>
    <w:rsid w:val="00690021"/>
    <w:rsid w:val="006904D8"/>
    <w:rsid w:val="00691436"/>
    <w:rsid w:val="00691CD6"/>
    <w:rsid w:val="00696D96"/>
    <w:rsid w:val="006A1478"/>
    <w:rsid w:val="006A5032"/>
    <w:rsid w:val="006B1108"/>
    <w:rsid w:val="006B1689"/>
    <w:rsid w:val="006B5F68"/>
    <w:rsid w:val="006B7A42"/>
    <w:rsid w:val="006E0DD5"/>
    <w:rsid w:val="006E234B"/>
    <w:rsid w:val="006E3BCA"/>
    <w:rsid w:val="006E3FFF"/>
    <w:rsid w:val="006F4191"/>
    <w:rsid w:val="00713FCF"/>
    <w:rsid w:val="00721D3A"/>
    <w:rsid w:val="0073506F"/>
    <w:rsid w:val="00735EEE"/>
    <w:rsid w:val="00756B90"/>
    <w:rsid w:val="00762B08"/>
    <w:rsid w:val="007730EC"/>
    <w:rsid w:val="00782292"/>
    <w:rsid w:val="00782395"/>
    <w:rsid w:val="0078620C"/>
    <w:rsid w:val="007911A2"/>
    <w:rsid w:val="00795AE3"/>
    <w:rsid w:val="00797F69"/>
    <w:rsid w:val="007A0EE7"/>
    <w:rsid w:val="007A43E7"/>
    <w:rsid w:val="007A5720"/>
    <w:rsid w:val="007C14C9"/>
    <w:rsid w:val="007C7E14"/>
    <w:rsid w:val="007D6EC8"/>
    <w:rsid w:val="007E1247"/>
    <w:rsid w:val="007E53A6"/>
    <w:rsid w:val="007F6777"/>
    <w:rsid w:val="008028CE"/>
    <w:rsid w:val="00805ED9"/>
    <w:rsid w:val="0082619D"/>
    <w:rsid w:val="00832631"/>
    <w:rsid w:val="00837D52"/>
    <w:rsid w:val="00843499"/>
    <w:rsid w:val="00843C46"/>
    <w:rsid w:val="00843CF8"/>
    <w:rsid w:val="00847734"/>
    <w:rsid w:val="00856CF4"/>
    <w:rsid w:val="00860043"/>
    <w:rsid w:val="0087097B"/>
    <w:rsid w:val="00875160"/>
    <w:rsid w:val="00883669"/>
    <w:rsid w:val="00884708"/>
    <w:rsid w:val="008858BA"/>
    <w:rsid w:val="00892373"/>
    <w:rsid w:val="00895AD8"/>
    <w:rsid w:val="00895FA0"/>
    <w:rsid w:val="008C190C"/>
    <w:rsid w:val="008D4345"/>
    <w:rsid w:val="009105F7"/>
    <w:rsid w:val="009176E2"/>
    <w:rsid w:val="00921385"/>
    <w:rsid w:val="00923C7D"/>
    <w:rsid w:val="00927F92"/>
    <w:rsid w:val="00940259"/>
    <w:rsid w:val="009439DE"/>
    <w:rsid w:val="00957F00"/>
    <w:rsid w:val="009757B3"/>
    <w:rsid w:val="009944FD"/>
    <w:rsid w:val="009A0442"/>
    <w:rsid w:val="009A28AD"/>
    <w:rsid w:val="009A3DE8"/>
    <w:rsid w:val="009B24FB"/>
    <w:rsid w:val="009B4258"/>
    <w:rsid w:val="009C1A5C"/>
    <w:rsid w:val="009D1287"/>
    <w:rsid w:val="009D6960"/>
    <w:rsid w:val="009F28D0"/>
    <w:rsid w:val="00A005AD"/>
    <w:rsid w:val="00A00CE4"/>
    <w:rsid w:val="00A118E4"/>
    <w:rsid w:val="00A20812"/>
    <w:rsid w:val="00A25207"/>
    <w:rsid w:val="00A36E29"/>
    <w:rsid w:val="00A36FC1"/>
    <w:rsid w:val="00A45BA6"/>
    <w:rsid w:val="00A47E3E"/>
    <w:rsid w:val="00A5204B"/>
    <w:rsid w:val="00A54EE6"/>
    <w:rsid w:val="00A6177B"/>
    <w:rsid w:val="00A80B23"/>
    <w:rsid w:val="00AA0828"/>
    <w:rsid w:val="00AB0CA4"/>
    <w:rsid w:val="00AB25A8"/>
    <w:rsid w:val="00AD1673"/>
    <w:rsid w:val="00AD2C65"/>
    <w:rsid w:val="00AD7DDD"/>
    <w:rsid w:val="00AE1C4F"/>
    <w:rsid w:val="00AE226E"/>
    <w:rsid w:val="00AE4DDE"/>
    <w:rsid w:val="00AE5295"/>
    <w:rsid w:val="00AE7A29"/>
    <w:rsid w:val="00AF3F69"/>
    <w:rsid w:val="00B03804"/>
    <w:rsid w:val="00B07A1F"/>
    <w:rsid w:val="00B14918"/>
    <w:rsid w:val="00B20348"/>
    <w:rsid w:val="00B229B4"/>
    <w:rsid w:val="00B26F65"/>
    <w:rsid w:val="00B36F70"/>
    <w:rsid w:val="00B370DC"/>
    <w:rsid w:val="00B46840"/>
    <w:rsid w:val="00B524BD"/>
    <w:rsid w:val="00B649E4"/>
    <w:rsid w:val="00B7324F"/>
    <w:rsid w:val="00B750AA"/>
    <w:rsid w:val="00B77535"/>
    <w:rsid w:val="00B93F0F"/>
    <w:rsid w:val="00BA3266"/>
    <w:rsid w:val="00BB3250"/>
    <w:rsid w:val="00BC0336"/>
    <w:rsid w:val="00BC2A3D"/>
    <w:rsid w:val="00BD1AA4"/>
    <w:rsid w:val="00BE47A4"/>
    <w:rsid w:val="00BE7319"/>
    <w:rsid w:val="00BF250E"/>
    <w:rsid w:val="00C00C67"/>
    <w:rsid w:val="00C079B7"/>
    <w:rsid w:val="00C15CF0"/>
    <w:rsid w:val="00C27685"/>
    <w:rsid w:val="00C276B6"/>
    <w:rsid w:val="00C54692"/>
    <w:rsid w:val="00C55880"/>
    <w:rsid w:val="00C60D66"/>
    <w:rsid w:val="00C640FA"/>
    <w:rsid w:val="00C64717"/>
    <w:rsid w:val="00C746ED"/>
    <w:rsid w:val="00C90108"/>
    <w:rsid w:val="00C90FBC"/>
    <w:rsid w:val="00C956A3"/>
    <w:rsid w:val="00C97522"/>
    <w:rsid w:val="00CB17C4"/>
    <w:rsid w:val="00CC7F27"/>
    <w:rsid w:val="00CF0DF6"/>
    <w:rsid w:val="00CF216E"/>
    <w:rsid w:val="00CF49AA"/>
    <w:rsid w:val="00CF7FFD"/>
    <w:rsid w:val="00D010D4"/>
    <w:rsid w:val="00D01C2E"/>
    <w:rsid w:val="00D31EA9"/>
    <w:rsid w:val="00D37E7D"/>
    <w:rsid w:val="00D410BF"/>
    <w:rsid w:val="00D51CFE"/>
    <w:rsid w:val="00D56A67"/>
    <w:rsid w:val="00D5701B"/>
    <w:rsid w:val="00D5745E"/>
    <w:rsid w:val="00D574D3"/>
    <w:rsid w:val="00D57C70"/>
    <w:rsid w:val="00D64F0F"/>
    <w:rsid w:val="00D710AC"/>
    <w:rsid w:val="00D712F0"/>
    <w:rsid w:val="00D83811"/>
    <w:rsid w:val="00D9630E"/>
    <w:rsid w:val="00D969DB"/>
    <w:rsid w:val="00DA21FD"/>
    <w:rsid w:val="00DB00F8"/>
    <w:rsid w:val="00DB3BBC"/>
    <w:rsid w:val="00DC4DCB"/>
    <w:rsid w:val="00DE0EF6"/>
    <w:rsid w:val="00DE3041"/>
    <w:rsid w:val="00DF0486"/>
    <w:rsid w:val="00DF38A5"/>
    <w:rsid w:val="00E01025"/>
    <w:rsid w:val="00E06126"/>
    <w:rsid w:val="00E2102D"/>
    <w:rsid w:val="00E302FB"/>
    <w:rsid w:val="00E311F8"/>
    <w:rsid w:val="00E32617"/>
    <w:rsid w:val="00E32E33"/>
    <w:rsid w:val="00E44AB7"/>
    <w:rsid w:val="00E504E5"/>
    <w:rsid w:val="00E515DA"/>
    <w:rsid w:val="00E572FA"/>
    <w:rsid w:val="00E76CBA"/>
    <w:rsid w:val="00E96D10"/>
    <w:rsid w:val="00EB583D"/>
    <w:rsid w:val="00EC0CBE"/>
    <w:rsid w:val="00EC2FCF"/>
    <w:rsid w:val="00EC77AC"/>
    <w:rsid w:val="00ED37DA"/>
    <w:rsid w:val="00ED37E1"/>
    <w:rsid w:val="00EE3FD5"/>
    <w:rsid w:val="00F04490"/>
    <w:rsid w:val="00F04731"/>
    <w:rsid w:val="00F05CA2"/>
    <w:rsid w:val="00F0689B"/>
    <w:rsid w:val="00F2350A"/>
    <w:rsid w:val="00F260CB"/>
    <w:rsid w:val="00F266B3"/>
    <w:rsid w:val="00F26E62"/>
    <w:rsid w:val="00F32B63"/>
    <w:rsid w:val="00F440F7"/>
    <w:rsid w:val="00F47293"/>
    <w:rsid w:val="00F54330"/>
    <w:rsid w:val="00F5501E"/>
    <w:rsid w:val="00F568DF"/>
    <w:rsid w:val="00F571CA"/>
    <w:rsid w:val="00F83801"/>
    <w:rsid w:val="00F85E0C"/>
    <w:rsid w:val="00F9783D"/>
    <w:rsid w:val="00FA40A0"/>
    <w:rsid w:val="00FB4AE1"/>
    <w:rsid w:val="00FD0953"/>
    <w:rsid w:val="00FD5224"/>
    <w:rsid w:val="00FF6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FE35BB2-5923-4272-9D86-FC4ACCEB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57CF"/>
    <w:pPr>
      <w:ind w:left="720"/>
      <w:contextualSpacing/>
    </w:pPr>
  </w:style>
  <w:style w:type="paragraph" w:customStyle="1" w:styleId="Ruthsparagraph">
    <w:name w:val="Ruth's paragraph"/>
    <w:basedOn w:val="ListParagraph"/>
    <w:link w:val="RuthsparagraphChar1"/>
    <w:uiPriority w:val="99"/>
    <w:rsid w:val="00AE1C4F"/>
    <w:pPr>
      <w:spacing w:before="120" w:after="120" w:line="240" w:lineRule="auto"/>
      <w:ind w:hanging="720"/>
      <w:contextualSpacing w:val="0"/>
    </w:pPr>
    <w:rPr>
      <w:rFonts w:ascii="Arial" w:eastAsia="Times New Roman" w:hAnsi="Arial" w:cs="Times New Roman"/>
      <w:sz w:val="24"/>
      <w:szCs w:val="24"/>
      <w:lang w:eastAsia="en-GB"/>
    </w:rPr>
  </w:style>
  <w:style w:type="character" w:customStyle="1" w:styleId="RuthsparagraphChar1">
    <w:name w:val="Ruth's paragraph Char1"/>
    <w:basedOn w:val="DefaultParagraphFont"/>
    <w:link w:val="Ruthsparagraph"/>
    <w:uiPriority w:val="99"/>
    <w:locked/>
    <w:rsid w:val="00AE1C4F"/>
    <w:rPr>
      <w:rFonts w:ascii="Arial" w:eastAsia="Times New Roman" w:hAnsi="Arial" w:cs="Times New Roman"/>
      <w:sz w:val="24"/>
      <w:szCs w:val="24"/>
      <w:lang w:eastAsia="en-GB"/>
    </w:rPr>
  </w:style>
  <w:style w:type="table" w:styleId="TableGrid">
    <w:name w:val="Table Grid"/>
    <w:basedOn w:val="TableNormal"/>
    <w:uiPriority w:val="39"/>
    <w:rsid w:val="009B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C67"/>
  </w:style>
  <w:style w:type="paragraph" w:styleId="BalloonText">
    <w:name w:val="Balloon Text"/>
    <w:basedOn w:val="Normal"/>
    <w:link w:val="BalloonTextChar"/>
    <w:uiPriority w:val="99"/>
    <w:semiHidden/>
    <w:unhideWhenUsed/>
    <w:rsid w:val="00843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46"/>
    <w:rPr>
      <w:rFonts w:ascii="Segoe UI" w:hAnsi="Segoe UI" w:cs="Segoe UI"/>
      <w:sz w:val="18"/>
      <w:szCs w:val="18"/>
    </w:rPr>
  </w:style>
  <w:style w:type="paragraph" w:styleId="Header">
    <w:name w:val="header"/>
    <w:basedOn w:val="Normal"/>
    <w:link w:val="HeaderChar"/>
    <w:uiPriority w:val="99"/>
    <w:unhideWhenUsed/>
    <w:rsid w:val="00A4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E3E"/>
  </w:style>
  <w:style w:type="paragraph" w:styleId="Footer">
    <w:name w:val="footer"/>
    <w:basedOn w:val="Normal"/>
    <w:link w:val="FooterChar"/>
    <w:uiPriority w:val="99"/>
    <w:unhideWhenUsed/>
    <w:rsid w:val="00A4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3E"/>
  </w:style>
  <w:style w:type="paragraph" w:customStyle="1" w:styleId="Ruthsnumberedheading">
    <w:name w:val="Ruth's numbered heading"/>
    <w:basedOn w:val="Normal"/>
    <w:uiPriority w:val="99"/>
    <w:rsid w:val="00A25207"/>
    <w:pPr>
      <w:spacing w:before="120" w:after="120" w:line="240" w:lineRule="auto"/>
      <w:ind w:left="720" w:hanging="720"/>
    </w:pPr>
    <w:rPr>
      <w:rFonts w:ascii="Arial" w:eastAsia="Times New Roman" w:hAnsi="Arial" w:cs="Arial"/>
      <w:b/>
      <w:sz w:val="28"/>
      <w:szCs w:val="28"/>
      <w:lang w:eastAsia="en-GB"/>
    </w:rPr>
  </w:style>
  <w:style w:type="paragraph" w:customStyle="1" w:styleId="Pa0">
    <w:name w:val="Pa0"/>
    <w:basedOn w:val="Normal"/>
    <w:next w:val="Normal"/>
    <w:uiPriority w:val="99"/>
    <w:rsid w:val="00756B90"/>
    <w:pPr>
      <w:autoSpaceDE w:val="0"/>
      <w:autoSpaceDN w:val="0"/>
      <w:adjustRightInd w:val="0"/>
      <w:spacing w:after="0" w:line="191" w:lineRule="atLeast"/>
    </w:pPr>
    <w:rPr>
      <w:rFonts w:ascii="Verdana" w:hAnsi="Verdana"/>
      <w:sz w:val="24"/>
      <w:szCs w:val="24"/>
    </w:rPr>
  </w:style>
  <w:style w:type="paragraph" w:customStyle="1" w:styleId="Default">
    <w:name w:val="Default"/>
    <w:rsid w:val="00756B90"/>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756B90"/>
    <w:rPr>
      <w:rFonts w:cs="Verdana"/>
      <w:color w:val="000000"/>
      <w:sz w:val="70"/>
      <w:szCs w:val="70"/>
    </w:rPr>
  </w:style>
  <w:style w:type="paragraph" w:customStyle="1" w:styleId="Pa4">
    <w:name w:val="Pa4"/>
    <w:basedOn w:val="Default"/>
    <w:next w:val="Default"/>
    <w:uiPriority w:val="99"/>
    <w:rsid w:val="00A00CE4"/>
    <w:pPr>
      <w:spacing w:line="191" w:lineRule="atLeast"/>
    </w:pPr>
    <w:rPr>
      <w:rFonts w:cstheme="minorBidi"/>
      <w:color w:val="auto"/>
    </w:rPr>
  </w:style>
  <w:style w:type="character" w:customStyle="1" w:styleId="A4">
    <w:name w:val="A4"/>
    <w:uiPriority w:val="99"/>
    <w:rsid w:val="00A00CE4"/>
    <w:rPr>
      <w:rFonts w:cs="Verdana"/>
      <w:color w:val="000000"/>
      <w:sz w:val="60"/>
      <w:szCs w:val="60"/>
    </w:rPr>
  </w:style>
  <w:style w:type="character" w:customStyle="1" w:styleId="A2">
    <w:name w:val="A2"/>
    <w:uiPriority w:val="99"/>
    <w:rsid w:val="00A00CE4"/>
    <w:rPr>
      <w:rFonts w:cs="Verdan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73008">
      <w:bodyDiv w:val="1"/>
      <w:marLeft w:val="0"/>
      <w:marRight w:val="0"/>
      <w:marTop w:val="0"/>
      <w:marBottom w:val="0"/>
      <w:divBdr>
        <w:top w:val="none" w:sz="0" w:space="0" w:color="auto"/>
        <w:left w:val="none" w:sz="0" w:space="0" w:color="auto"/>
        <w:bottom w:val="none" w:sz="0" w:space="0" w:color="auto"/>
        <w:right w:val="none" w:sz="0" w:space="0" w:color="auto"/>
      </w:divBdr>
    </w:div>
    <w:div w:id="10494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371D-DE78-4C86-8116-E34C2594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3850</Words>
  <Characters>21945</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Lowry, Ruth</dc:creator>
  <cp:keywords/>
  <dc:description/>
  <cp:lastModifiedBy>Mather, Chris</cp:lastModifiedBy>
  <cp:revision>2</cp:revision>
  <cp:lastPrinted>2016-01-08T16:25:00Z</cp:lastPrinted>
  <dcterms:created xsi:type="dcterms:W3CDTF">2016-01-15T13:09:00Z</dcterms:created>
  <dcterms:modified xsi:type="dcterms:W3CDTF">2016-01-15T13:09:00Z</dcterms:modified>
</cp:coreProperties>
</file>